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4EB2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highlight w:val="none"/>
        </w:rPr>
        <w:t>航运史料共享资源库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highlight w:val="none"/>
          <w:lang w:val="en-US" w:eastAsia="zh-CN"/>
        </w:rPr>
        <w:t>项目比选需求</w:t>
      </w:r>
    </w:p>
    <w:p w14:paraId="07189938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highlight w:val="none"/>
          <w:lang w:val="en-US" w:eastAsia="zh-CN"/>
        </w:rPr>
      </w:pPr>
    </w:p>
    <w:p w14:paraId="1922E38E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  <w:t>一、项目概述</w:t>
      </w:r>
    </w:p>
    <w:p w14:paraId="6E79CC5C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为支撑航运文化遗产内涵和时代特征理论研究，做好航运历史资料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和上海国际航运中心建设过程中的历史资料积累和保存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上海海事大学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将建设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航运史料共享资源库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航运史料共享资源库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主要包含</w:t>
      </w:r>
      <w:r>
        <w:rPr>
          <w:rFonts w:hint="eastAsia" w:asciiTheme="majorEastAsia" w:hAnsiTheme="majorEastAsia" w:eastAsiaTheme="majorEastAsia" w:cstheme="majorEastAsia"/>
          <w:strike w:val="0"/>
          <w:dstrike w:val="0"/>
          <w:sz w:val="24"/>
          <w:szCs w:val="24"/>
          <w:highlight w:val="none"/>
          <w:shd w:val="clear" w:color="auto" w:fill="auto"/>
          <w:lang w:val="en-US" w:eastAsia="zh-CN"/>
        </w:rPr>
        <w:t>“中国航运史料共享资源库”和“上海国际航运中心建设史料共享资源库”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。建设航运史料共享资源库，可以让更多师生和社会公众了解中国传统优秀航运文化</w:t>
      </w:r>
      <w:r>
        <w:rPr>
          <w:rFonts w:hint="eastAsia" w:asciiTheme="majorEastAsia" w:hAnsiTheme="majorEastAsia" w:eastAsiaTheme="majorEastAsia" w:cstheme="majorEastAsia"/>
          <w:strike w:val="0"/>
          <w:dstrike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彰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显上海国际航运中心建设伟大成就，挖掘其中蕴含的航运精神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。</w:t>
      </w:r>
    </w:p>
    <w:p w14:paraId="570CA2E7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</w:pPr>
      <w:bookmarkStart w:id="0" w:name="_GoBack"/>
      <w:bookmarkEnd w:id="0"/>
    </w:p>
    <w:p w14:paraId="6BCEC2AB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  <w:t>技术要求</w:t>
      </w:r>
    </w:p>
    <w:p w14:paraId="4D3E793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门户网站</w:t>
      </w:r>
    </w:p>
    <w:p w14:paraId="1C4F8856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航运史料共享资源库（以下简称史料库）主要由“中国航运史料共享资源库”和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“上海国际航运中心建设史料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共享资源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库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组成。</w:t>
      </w:r>
    </w:p>
    <w:p w14:paraId="61998105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“中国航运史料共享资源库”首页包含航运人物、航运大事件、重要机构、重要地点等模块，支持按照不同朝代展示相关文献；“上海国际航运中心建设史料共享资源库”首页包含新闻动态、关键时间、重大事件、重要政策、重要机构等模块。</w:t>
      </w:r>
    </w:p>
    <w:p w14:paraId="2C444B5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史料库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采用前后端分离技术，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门户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具有可视化页面设计后台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支持自定义门户上导航栏栏目和首页应用模块，可随时、自主调整所有应用模块的大小、位置，更新模块数据内容或删除模块，快速更新页面排版。</w:t>
      </w:r>
    </w:p>
    <w:p w14:paraId="3427828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网站可支持限制IP内登录或者IP外账号登录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DE63B7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2、资源检索</w:t>
      </w:r>
    </w:p>
    <w:p w14:paraId="7A7B501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1）史料库可实现资源统一检索，支持对符合条件的数据进行全文检索，并且可选择内容添加批注。</w:t>
      </w:r>
    </w:p>
    <w:p w14:paraId="75BFE9D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2）史料库检索结果页支持不区分资源类型的检索，提供简单检索、高级检索、二次检索多种检索方式；提供高频检索词提示列表、检索词联想；针对检索结果可实现年代、关键词等分类筛选以及相关度、全文优先等多种排序方式。</w:t>
      </w:r>
    </w:p>
    <w:p w14:paraId="155B2CCB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3）史料库检索结果页支持根据用户的搜索结果，按知识点、作者、机构、文献类型等多维度生成可视化图表展示；支持搜索结果结合知识挖掘、知识关联分析与可视化技术于一体，将检索数据及分析结果以图谱形式直观展示（需提供相关功能的截图）。</w:t>
      </w:r>
    </w:p>
    <w:p w14:paraId="614A714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4）平台可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根据用户的搜索和浏览记录，智能匹配推荐相关资源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F29EEF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支持对检索结果中的题录数据进行多种格式的批量导出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C3DC6CA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3、后台管理</w:t>
      </w:r>
    </w:p>
    <w:p w14:paraId="4A40ADC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1）史料库后台具备数据存储的功能，支持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管理员可新建、删除、修改数据库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支持建设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多个子库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多个子库统一检索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支持管理员对数据进行查、增、删、改、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复制、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上传全文、配置全文来源、配置关联资源等操作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支持在文献类型管理页面自定义资源类型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以及资源类型对应的字段信息。</w:t>
      </w:r>
    </w:p>
    <w:p w14:paraId="5566D97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2）后台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支持全库以及新增数据的自定义查重</w:t>
      </w: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856BE4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3）可支持管理员通过平台单条添加、批量导入自动更新参数，自动更新参数支持为同一个分类设置多个检索条件。</w:t>
      </w:r>
    </w:p>
    <w:p w14:paraId="2078FF46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4）后台具有资讯配置功能，系统自动进行资讯信息采集。点击资讯标题即可跳转到原始全文页面进行阅读；支持对平台资讯的单篇添加、批量导入、撤回、发布功能。</w:t>
      </w:r>
    </w:p>
    <w:p w14:paraId="78EE991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Calibr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支持根据IP、账号等多种方式设置用户全文权限，包括：全文在线阅读、下载、在线全文查看等；对于无权限查看全文的用户，可支持试读设置。</w:t>
      </w:r>
    </w:p>
    <w:p w14:paraId="0FF8E30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6）史料库后台具备数据资源量统计、平台访问量统计的功能。</w:t>
      </w:r>
    </w:p>
    <w:p w14:paraId="2756C06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7）史料库可批量添加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水印，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后台可设置动态水印、自定义水印。</w:t>
      </w:r>
    </w:p>
    <w:p w14:paraId="7E0332C4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8）支持敏感词设置，数据上传/提交审核时可检测，新增敏感词在门户以*号展示。</w:t>
      </w:r>
    </w:p>
    <w:p w14:paraId="3D242E57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</w:pPr>
    </w:p>
    <w:p w14:paraId="4CB7D0BA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  <w:t>资格要求</w:t>
      </w:r>
    </w:p>
    <w:p w14:paraId="300B32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1.具有独立承担民事责任的能力，可提供企业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营业执照（复印件）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。</w:t>
      </w:r>
    </w:p>
    <w:p w14:paraId="3FCC49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未被“信用中国”（www.creditchina.gov.cn）、中国政府采购网（www.ccgp.gov.cn）列入失信被执行人、重大税收违法案件当事人名单、政府采购严重违法失信行为记录名单的企业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。</w:t>
      </w:r>
    </w:p>
    <w:p w14:paraId="612460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3.可提供近三年相关合作案例合同。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4F1E7D22"/>
    <w:rsid w:val="04B4094E"/>
    <w:rsid w:val="0871532C"/>
    <w:rsid w:val="08D45E58"/>
    <w:rsid w:val="0A4F1714"/>
    <w:rsid w:val="0C935B42"/>
    <w:rsid w:val="0DAC47DF"/>
    <w:rsid w:val="17467C1C"/>
    <w:rsid w:val="194E2C3A"/>
    <w:rsid w:val="19895BAB"/>
    <w:rsid w:val="2872718F"/>
    <w:rsid w:val="2B7256B3"/>
    <w:rsid w:val="2D045C82"/>
    <w:rsid w:val="3700529D"/>
    <w:rsid w:val="38EA1A8E"/>
    <w:rsid w:val="39355E7F"/>
    <w:rsid w:val="3A2B253A"/>
    <w:rsid w:val="4203494E"/>
    <w:rsid w:val="45D16AD1"/>
    <w:rsid w:val="4CCC7367"/>
    <w:rsid w:val="4F1E7D22"/>
    <w:rsid w:val="533D42D6"/>
    <w:rsid w:val="535E40A6"/>
    <w:rsid w:val="5A0C68F8"/>
    <w:rsid w:val="5E3E3FC2"/>
    <w:rsid w:val="6597694E"/>
    <w:rsid w:val="6E4E5A4F"/>
    <w:rsid w:val="6F666969"/>
    <w:rsid w:val="76067942"/>
    <w:rsid w:val="765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360" w:lineRule="auto"/>
      <w:ind w:left="0" w:firstLine="0"/>
      <w:outlineLvl w:val="0"/>
    </w:pPr>
    <w:rPr>
      <w:rFonts w:ascii="Arial" w:hAnsi="Arial" w:eastAsia="宋体" w:cs="宋体"/>
      <w:b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adjustRightInd w:val="0"/>
      <w:spacing w:before="50" w:beforeLines="50" w:after="50" w:afterLines="50" w:line="360" w:lineRule="auto"/>
      <w:ind w:left="0" w:firstLine="0"/>
      <w:outlineLvl w:val="1"/>
    </w:pPr>
    <w:rPr>
      <w:rFonts w:ascii="Arial" w:hAnsi="Arial" w:eastAsia="宋体" w:cs="宋体"/>
      <w:b/>
      <w:bCs/>
      <w:sz w:val="32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2"/>
    </w:pPr>
    <w:rPr>
      <w:rFonts w:ascii="Arial" w:hAnsi="Arial" w:eastAsia="宋体" w:cs="宋体"/>
      <w:b/>
      <w:sz w:val="30"/>
      <w:szCs w:val="30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1391</Words>
  <Characters>1432</Characters>
  <Lines>0</Lines>
  <Paragraphs>0</Paragraphs>
  <TotalTime>2</TotalTime>
  <ScaleCrop>false</ScaleCrop>
  <LinksUpToDate>false</LinksUpToDate>
  <CharactersWithSpaces>1432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2024-06-17T15:53:00Z</dcterms:created>
  <dc:creator>54332</dc:creator>
  <cp:lastModifiedBy>仲杰</cp:lastModifiedBy>
  <dcterms:modified xsi:type="dcterms:W3CDTF">2024-06-25T14:03:15Z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B4F4F275E70048E29085FE15A6BD5575_13</vt:lpwstr>
  </property>
</Properties>
</file>