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运动平台采购项目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HFBX2026036</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五</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bookmarkStart w:id="4" w:name="_GoBack"/>
      <w:bookmarkEnd w:id="4"/>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HFBX2026036</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运动平台采购项目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18.8</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lang w:val="en-US" w:eastAsia="zh-CN"/>
        </w:rPr>
        <w:t>本项目需采购一套运动平台，含配套技术资料。该运动平台安装在船上，通过执行与船相反的运动，使得上平台几乎处于稳定状态。（具体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交付地址：上海海事大学商船学院。</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交付时间：合同签订后20天内交付样机。</w:t>
      </w:r>
    </w:p>
    <w:p w14:paraId="27BDE804">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付款方式：（1）合同签订后甲方预付10%合同款。（2）乙方完成样机，经甲方确认样机性能初步符合技术指标要求、可供后续进一步试验及优化改进后，由乙方出具样机初步验收自检说明，经甲乙双方确认无误后，甲方向乙方支付40%合同款；（3）乙方交付正式样机，甲方确认其各项技术指标符合研究要求，符合项目结题验收条件，甲方向乙方支付50%合同款。</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20</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周三</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汪老师021-38283403</w:t>
      </w:r>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7DE6D34A">
      <w:pPr>
        <w:spacing w:line="24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一、货物清单及规格参数</w:t>
      </w:r>
    </w:p>
    <w:tbl>
      <w:tblPr>
        <w:tblStyle w:val="14"/>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927"/>
        <w:gridCol w:w="963"/>
        <w:gridCol w:w="697"/>
        <w:gridCol w:w="697"/>
        <w:gridCol w:w="5975"/>
      </w:tblGrid>
      <w:tr w14:paraId="3F880A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50" w:type="pct"/>
            <w:vAlign w:val="center"/>
          </w:tcPr>
          <w:p w14:paraId="7D900C02">
            <w:pPr>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序号</w:t>
            </w:r>
          </w:p>
        </w:tc>
        <w:tc>
          <w:tcPr>
            <w:tcW w:w="465" w:type="pct"/>
            <w:vAlign w:val="center"/>
          </w:tcPr>
          <w:p w14:paraId="3E4654E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名称</w:t>
            </w:r>
          </w:p>
        </w:tc>
        <w:tc>
          <w:tcPr>
            <w:tcW w:w="483" w:type="pct"/>
            <w:vAlign w:val="center"/>
          </w:tcPr>
          <w:p w14:paraId="4B165F61">
            <w:pPr>
              <w:widowControl/>
              <w:spacing w:line="360" w:lineRule="auto"/>
              <w:jc w:val="center"/>
              <w:rPr>
                <w:rFonts w:hint="eastAsia" w:ascii="Times New Roman" w:hAnsi="Times New Roman" w:eastAsia="方正兰亭黑简体" w:cs="Times New Roman"/>
                <w:b/>
                <w:bCs/>
                <w:color w:val="auto"/>
                <w:sz w:val="22"/>
                <w:szCs w:val="22"/>
                <w:highlight w:val="none"/>
                <w:lang w:eastAsia="zh-CN"/>
              </w:rPr>
            </w:pPr>
            <w:r>
              <w:rPr>
                <w:rFonts w:hint="eastAsia" w:ascii="Times New Roman" w:hAnsi="Times New Roman" w:eastAsia="方正兰亭黑简体" w:cs="Times New Roman"/>
                <w:b/>
                <w:bCs/>
                <w:color w:val="auto"/>
                <w:sz w:val="22"/>
                <w:szCs w:val="22"/>
                <w:highlight w:val="none"/>
                <w:lang w:val="en-US" w:eastAsia="zh-CN"/>
              </w:rPr>
              <w:t>来源</w:t>
            </w:r>
          </w:p>
        </w:tc>
        <w:tc>
          <w:tcPr>
            <w:tcW w:w="350" w:type="pct"/>
            <w:vAlign w:val="center"/>
          </w:tcPr>
          <w:p w14:paraId="18C0592B">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单位</w:t>
            </w:r>
          </w:p>
        </w:tc>
        <w:tc>
          <w:tcPr>
            <w:tcW w:w="350" w:type="pct"/>
            <w:vAlign w:val="center"/>
          </w:tcPr>
          <w:p w14:paraId="14DCCB8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数量</w:t>
            </w:r>
          </w:p>
        </w:tc>
        <w:tc>
          <w:tcPr>
            <w:tcW w:w="2998" w:type="pct"/>
            <w:vAlign w:val="center"/>
          </w:tcPr>
          <w:p w14:paraId="5375C4DA">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主要规格</w:t>
            </w:r>
          </w:p>
        </w:tc>
      </w:tr>
      <w:tr w14:paraId="49DAE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350" w:type="pct"/>
            <w:vAlign w:val="center"/>
          </w:tcPr>
          <w:p w14:paraId="7DEF8C0B">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465" w:type="pct"/>
            <w:vAlign w:val="center"/>
          </w:tcPr>
          <w:p w14:paraId="27DFD86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运动平台</w:t>
            </w:r>
          </w:p>
        </w:tc>
        <w:tc>
          <w:tcPr>
            <w:tcW w:w="483" w:type="pct"/>
            <w:vAlign w:val="center"/>
          </w:tcPr>
          <w:p w14:paraId="0ECC29C6">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国产</w:t>
            </w:r>
          </w:p>
        </w:tc>
        <w:tc>
          <w:tcPr>
            <w:tcW w:w="350" w:type="pct"/>
            <w:vAlign w:val="center"/>
          </w:tcPr>
          <w:p w14:paraId="5A208F7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套</w:t>
            </w:r>
          </w:p>
        </w:tc>
        <w:tc>
          <w:tcPr>
            <w:tcW w:w="350" w:type="pct"/>
            <w:vAlign w:val="center"/>
          </w:tcPr>
          <w:p w14:paraId="59847C04">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2998" w:type="pct"/>
            <w:vAlign w:val="center"/>
          </w:tcPr>
          <w:p w14:paraId="653ED93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1套运动平台，包含支撑平台完成准确运动的设备及配件、整机相关技术资料（如图纸、技术说明书等）等</w:t>
            </w:r>
          </w:p>
        </w:tc>
      </w:tr>
    </w:tbl>
    <w:p w14:paraId="7DC994A3">
      <w:pPr>
        <w:spacing w:line="24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24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二、技术要求</w:t>
      </w:r>
    </w:p>
    <w:p w14:paraId="15FDDBBC">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1</w:t>
      </w:r>
      <w:r>
        <w:rPr>
          <w:rFonts w:hint="eastAsia"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kern w:val="0"/>
          <w:sz w:val="22"/>
          <w:szCs w:val="22"/>
          <w:highlight w:val="none"/>
        </w:rPr>
        <w:t>作业能力指标：</w:t>
      </w:r>
    </w:p>
    <w:p w14:paraId="46E36C60">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稳定平台角度运动范围≥±20°（横滚/俯仰）</w:t>
      </w:r>
    </w:p>
    <w:p w14:paraId="1DC177BE">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最大跟踪频率≥2Hz（补偿船舶低频振动）</w:t>
      </w:r>
    </w:p>
    <w:p w14:paraId="221B77D6">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有效负载≥180kg（含机械臂及器械）</w:t>
      </w:r>
    </w:p>
    <w:p w14:paraId="12D10EFB">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2</w:t>
      </w:r>
      <w:r>
        <w:rPr>
          <w:rFonts w:hint="eastAsia"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kern w:val="0"/>
          <w:sz w:val="22"/>
          <w:szCs w:val="22"/>
          <w:highlight w:val="none"/>
        </w:rPr>
        <w:t>基本性能参数：</w:t>
      </w:r>
    </w:p>
    <w:p w14:paraId="79387C89">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2.1主尺度</w:t>
      </w:r>
      <w:r>
        <w:rPr>
          <w:rFonts w:hint="eastAsia" w:ascii="Times New Roman" w:hAnsi="Times New Roman" w:eastAsia="方正兰亭黑简体" w:cs="Times New Roman"/>
          <w:color w:val="auto"/>
          <w:kern w:val="0"/>
          <w:sz w:val="22"/>
          <w:szCs w:val="22"/>
          <w:highlight w:val="none"/>
          <w:lang w:eastAsia="zh-CN"/>
        </w:rPr>
        <w:t>：</w:t>
      </w:r>
    </w:p>
    <w:p w14:paraId="070E8D4F">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静平台尺寸：400mm×370mm</w:t>
      </w:r>
    </w:p>
    <w:p w14:paraId="544FB4C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动平台尺寸：300mm×300mm</w:t>
      </w:r>
    </w:p>
    <w:p w14:paraId="10D77FDA">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高度活动范围：299mm～369mm</w:t>
      </w:r>
    </w:p>
    <w:p w14:paraId="36509933">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2.2机械性能</w:t>
      </w:r>
      <w:r>
        <w:rPr>
          <w:rFonts w:hint="eastAsia" w:ascii="Times New Roman" w:hAnsi="Times New Roman" w:eastAsia="方正兰亭黑简体" w:cs="Times New Roman"/>
          <w:color w:val="auto"/>
          <w:kern w:val="0"/>
          <w:sz w:val="22"/>
          <w:szCs w:val="22"/>
          <w:highlight w:val="none"/>
          <w:lang w:eastAsia="zh-CN"/>
        </w:rPr>
        <w:t>：</w:t>
      </w:r>
    </w:p>
    <w:p w14:paraId="4D120C8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整机质量≤40kg（含驱动组件）</w:t>
      </w:r>
    </w:p>
    <w:p w14:paraId="48783A97">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角度运动范围≥±20°</w:t>
      </w:r>
    </w:p>
    <w:p w14:paraId="476C83A1">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最大跟踪频率≥2Hz</w:t>
      </w:r>
    </w:p>
    <w:p w14:paraId="290289F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单缸额定功率</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≤1200W（220V±10%）</w:t>
      </w:r>
    </w:p>
    <w:p w14:paraId="617461D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2.3驱动控制系统</w:t>
      </w:r>
      <w:r>
        <w:rPr>
          <w:rFonts w:hint="eastAsia" w:ascii="Times New Roman" w:hAnsi="Times New Roman" w:eastAsia="方正兰亭黑简体" w:cs="Times New Roman"/>
          <w:color w:val="auto"/>
          <w:kern w:val="0"/>
          <w:sz w:val="22"/>
          <w:szCs w:val="22"/>
          <w:highlight w:val="none"/>
          <w:lang w:eastAsia="zh-CN"/>
        </w:rPr>
        <w:t>：</w:t>
      </w:r>
    </w:p>
    <w:p w14:paraId="48DB228B">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定位精度</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位移≤0.2mm，角度≤0.1°（正弦扫频2Hz条件下）</w:t>
      </w:r>
    </w:p>
    <w:p w14:paraId="19C8FE5F">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通信协议：支持EtherCAT/CANopen</w:t>
      </w:r>
    </w:p>
    <w:p w14:paraId="4ED34E1D">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通信延迟：数据交互延迟≤10ms；</w:t>
      </w:r>
    </w:p>
    <w:p w14:paraId="1B6892F1">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安全预警：具备故障主动报警功能，具备振动超限报警功能</w:t>
      </w:r>
    </w:p>
    <w:p w14:paraId="15D9EA51">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主动保护：过载自动切断、紧急制动响应时间≤0.1s</w:t>
      </w:r>
    </w:p>
    <w:p w14:paraId="63FED2D5">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3</w:t>
      </w:r>
      <w:r>
        <w:rPr>
          <w:rFonts w:hint="eastAsia"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kern w:val="0"/>
          <w:sz w:val="22"/>
          <w:szCs w:val="22"/>
          <w:highlight w:val="none"/>
        </w:rPr>
        <w:t>自然环境适应性</w:t>
      </w:r>
    </w:p>
    <w:p w14:paraId="41EB1211">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作业温度：10℃-40℃</w:t>
      </w:r>
    </w:p>
    <w:p w14:paraId="7220E419">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贮存极限温度：-20℃-55℃</w:t>
      </w:r>
    </w:p>
    <w:p w14:paraId="72DB8FAF">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湿度耐受：98%RH（40℃持续8h，无凝露）。</w:t>
      </w:r>
    </w:p>
    <w:p w14:paraId="6C242F79">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4</w:t>
      </w:r>
      <w:r>
        <w:rPr>
          <w:rFonts w:hint="eastAsia"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kern w:val="0"/>
          <w:sz w:val="22"/>
          <w:szCs w:val="22"/>
          <w:highlight w:val="none"/>
        </w:rPr>
        <w:t>环境及勤务适应性</w:t>
      </w:r>
    </w:p>
    <w:p w14:paraId="433E1B62">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抗冲击能力</w:t>
      </w:r>
      <w:r>
        <w:rPr>
          <w:rFonts w:hint="eastAsia"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rPr>
        <w:t>满足GJB150.18《设备环境试验方法冲击试验》规定的运输跌落有关要求；</w:t>
      </w:r>
    </w:p>
    <w:p w14:paraId="40AD6421">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抗振动能力：应能耐受GJB150.16A中A2.3.11程序I的振动要求；</w:t>
      </w:r>
    </w:p>
    <w:p w14:paraId="56E7248C">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电磁兼容试验：满足GJB151B-2013《设备和分系统电磁发射和敏感度要求与测量标准》有关要求；</w:t>
      </w:r>
    </w:p>
    <w:p w14:paraId="7C71F189">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运输性：应能满足水路运输工具的限制要求，或经过改造、加装辅助装置后能够满足水路运输工具的限制要求。</w:t>
      </w:r>
    </w:p>
    <w:p w14:paraId="3A4C1D70">
      <w:pPr>
        <w:widowControl/>
        <w:shd w:val="clear" w:color="auto" w:fill="FFFFFF"/>
        <w:spacing w:line="360" w:lineRule="auto"/>
        <w:ind w:left="0" w:leftChars="0" w:firstLine="0" w:firstLineChars="0"/>
        <w:jc w:val="left"/>
        <w:rPr>
          <w:rFonts w:hint="default" w:ascii="Times New Roman" w:hAnsi="Times New Roman" w:eastAsia="方正兰亭黑简体" w:cs="Times New Roman"/>
          <w:b/>
          <w:bCs/>
          <w:color w:val="auto"/>
          <w:kern w:val="0"/>
          <w:sz w:val="22"/>
          <w:szCs w:val="22"/>
          <w:highlight w:val="none"/>
        </w:rPr>
      </w:pPr>
      <w:r>
        <w:rPr>
          <w:rFonts w:hint="default" w:ascii="Times New Roman" w:hAnsi="Times New Roman" w:eastAsia="方正兰亭黑简体" w:cs="Times New Roman"/>
          <w:b/>
          <w:bCs/>
          <w:color w:val="auto"/>
          <w:kern w:val="0"/>
          <w:sz w:val="22"/>
          <w:szCs w:val="22"/>
          <w:highlight w:val="none"/>
        </w:rPr>
        <w:t>5</w:t>
      </w:r>
      <w:r>
        <w:rPr>
          <w:rFonts w:hint="eastAsia" w:ascii="Times New Roman" w:hAnsi="Times New Roman" w:eastAsia="方正兰亭黑简体" w:cs="Times New Roman"/>
          <w:b/>
          <w:bCs/>
          <w:color w:val="auto"/>
          <w:kern w:val="0"/>
          <w:sz w:val="22"/>
          <w:szCs w:val="22"/>
          <w:highlight w:val="none"/>
          <w:lang w:eastAsia="zh-CN"/>
        </w:rPr>
        <w:t>、</w:t>
      </w:r>
      <w:r>
        <w:rPr>
          <w:rFonts w:hint="default" w:ascii="Times New Roman" w:hAnsi="Times New Roman" w:eastAsia="方正兰亭黑简体" w:cs="Times New Roman"/>
          <w:b/>
          <w:bCs/>
          <w:color w:val="auto"/>
          <w:kern w:val="0"/>
          <w:sz w:val="22"/>
          <w:szCs w:val="22"/>
          <w:highlight w:val="none"/>
        </w:rPr>
        <w:t>综合性要求</w:t>
      </w:r>
    </w:p>
    <w:p w14:paraId="718EA8C8">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维修性：平均故障间隔时间不小于240小时，平均故障维护时间不大于2小时。</w:t>
      </w:r>
    </w:p>
    <w:p w14:paraId="1C70C643">
      <w:pPr>
        <w:widowControl/>
        <w:shd w:val="clear" w:color="auto" w:fill="FFFFFF"/>
        <w:spacing w:line="360" w:lineRule="auto"/>
        <w:ind w:left="0" w:leftChars="0" w:firstLine="0" w:firstLineChars="0"/>
        <w:jc w:val="left"/>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rPr>
        <w:t>样图：</w:t>
      </w:r>
    </w:p>
    <w:p w14:paraId="55CC3FEF">
      <w:pPr>
        <w:widowControl/>
        <w:shd w:val="clear" w:color="auto" w:fill="FFFFFF"/>
        <w:spacing w:line="360" w:lineRule="auto"/>
        <w:ind w:left="525" w:leftChars="250"/>
        <w:jc w:val="left"/>
        <w:rPr>
          <w:rFonts w:hint="eastAsia" w:ascii="宋体" w:hAnsi="宋体" w:cs="Arial"/>
          <w:color w:val="auto"/>
          <w:kern w:val="0"/>
          <w:sz w:val="24"/>
          <w:szCs w:val="24"/>
          <w:highlight w:val="none"/>
        </w:rPr>
      </w:pPr>
      <w:r>
        <w:rPr>
          <w:rFonts w:hint="eastAsia"/>
          <w:color w:val="auto"/>
          <w:highlight w:val="none"/>
        </w:rPr>
        <w:drawing>
          <wp:inline distT="0" distB="0" distL="0" distR="0">
            <wp:extent cx="2110740" cy="1487805"/>
            <wp:effectExtent l="0" t="0" r="10160" b="10795"/>
            <wp:docPr id="1201470119" name="图片 1" descr="查看源图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470119" name="图片 1" descr="查看源图像"/>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110740" cy="1487805"/>
                    </a:xfrm>
                    <a:prstGeom prst="rect">
                      <a:avLst/>
                    </a:prstGeom>
                    <a:noFill/>
                    <a:ln>
                      <a:noFill/>
                    </a:ln>
                  </pic:spPr>
                </pic:pic>
              </a:graphicData>
            </a:graphic>
          </wp:inline>
        </w:drawing>
      </w:r>
    </w:p>
    <w:p w14:paraId="34E97200">
      <w:pPr>
        <w:widowControl/>
        <w:shd w:val="clear" w:color="auto" w:fill="FFFFFF"/>
        <w:spacing w:line="24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三</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5324F000">
      <w:pPr>
        <w:widowControl/>
        <w:shd w:val="clear" w:color="auto" w:fill="FFFFFF"/>
        <w:spacing w:line="240" w:lineRule="auto"/>
        <w:jc w:val="left"/>
        <w:rPr>
          <w:rFonts w:hint="eastAsia" w:ascii="方正兰亭黑简体" w:hAnsi="方正兰亭黑简体" w:eastAsia="方正兰亭黑简体" w:cs="方正兰亭黑简体"/>
          <w:b/>
          <w:bCs/>
          <w:color w:val="auto"/>
          <w:sz w:val="22"/>
          <w:szCs w:val="22"/>
          <w:highlight w:val="none"/>
          <w:u w:val="none"/>
          <w:lang w:val="en-US" w:eastAsia="zh-CN"/>
        </w:rPr>
      </w:pPr>
      <w:r>
        <w:rPr>
          <w:rFonts w:hint="eastAsia" w:ascii="方正兰亭黑简体" w:hAnsi="方正兰亭黑简体" w:eastAsia="方正兰亭黑简体" w:cs="方正兰亭黑简体"/>
          <w:b/>
          <w:bCs/>
          <w:color w:val="auto"/>
          <w:sz w:val="22"/>
          <w:szCs w:val="22"/>
          <w:highlight w:val="none"/>
          <w:u w:val="none"/>
          <w:lang w:val="en-US" w:eastAsia="zh-CN"/>
        </w:rPr>
        <w:t>1、包装及运输：</w:t>
      </w:r>
    </w:p>
    <w:p w14:paraId="0A9E7860">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1）乙方负责安装调试，不再收取安装调试费用。</w:t>
      </w:r>
    </w:p>
    <w:p w14:paraId="5A0AEB2D">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2）乙方送货上门，上海市、江苏省、浙江省范围内的运输费由乙方承担，超出该范围的运输费由甲方承担。</w:t>
      </w:r>
    </w:p>
    <w:p w14:paraId="154345A6">
      <w:pPr>
        <w:widowControl/>
        <w:shd w:val="clear" w:color="auto" w:fill="FFFFFF"/>
        <w:spacing w:line="240" w:lineRule="auto"/>
        <w:jc w:val="left"/>
        <w:rPr>
          <w:rFonts w:hint="eastAsia" w:ascii="方正兰亭黑简体" w:hAnsi="方正兰亭黑简体" w:eastAsia="方正兰亭黑简体" w:cs="方正兰亭黑简体"/>
          <w:b/>
          <w:bCs/>
          <w:color w:val="auto"/>
          <w:sz w:val="22"/>
          <w:szCs w:val="22"/>
          <w:highlight w:val="none"/>
          <w:u w:val="none"/>
          <w:lang w:val="en-US" w:eastAsia="zh-CN"/>
        </w:rPr>
      </w:pPr>
      <w:r>
        <w:rPr>
          <w:rFonts w:hint="eastAsia" w:ascii="方正兰亭黑简体" w:hAnsi="方正兰亭黑简体" w:eastAsia="方正兰亭黑简体" w:cs="方正兰亭黑简体"/>
          <w:b/>
          <w:bCs/>
          <w:color w:val="auto"/>
          <w:sz w:val="22"/>
          <w:szCs w:val="22"/>
          <w:highlight w:val="none"/>
          <w:u w:val="none"/>
          <w:lang w:val="en-US" w:eastAsia="zh-CN"/>
        </w:rPr>
        <w:t>2、售后服务要求：</w:t>
      </w:r>
    </w:p>
    <w:p w14:paraId="6B8D98EF">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1）质量保证期：自交货验收完毕之日算起，所有产品质保 18 个月。乙方对提供的货物在质保期内，因产品质量而导致的缺陷，必须免费提供包修、包换服务，因此导致的损失甲方有权向中标供应商追偿。超出质保期后，供应商应当提供上门维修服务，仅收取成本费。</w:t>
      </w:r>
    </w:p>
    <w:p w14:paraId="02DAC288">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2）乙方须承诺，对售后服务需求提供1小时响应，10小时内到达现场实施维修。10小时仍未排除故障、恢复正常运转的，由乙方提供同类型备品、备件等。</w:t>
      </w:r>
    </w:p>
    <w:p w14:paraId="5C1956CB">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zh-CN" w:eastAsia="zh-CN"/>
        </w:rPr>
      </w:pPr>
      <w:r>
        <w:rPr>
          <w:rFonts w:hint="eastAsia" w:ascii="方正兰亭黑简体" w:hAnsi="方正兰亭黑简体" w:eastAsia="方正兰亭黑简体" w:cs="方正兰亭黑简体"/>
          <w:color w:val="auto"/>
          <w:sz w:val="22"/>
          <w:szCs w:val="22"/>
          <w:highlight w:val="none"/>
          <w:u w:val="none"/>
          <w:lang w:val="en-US" w:eastAsia="zh-CN"/>
        </w:rPr>
        <w:t>3）乙方须承诺，在免费质保期内，甲方确因项目课题结题需求向乙方提出补充整机相关技术资料或基础服务的，乙方会予以配合，不再另行收取费用。</w:t>
      </w:r>
    </w:p>
    <w:p w14:paraId="09814147">
      <w:pPr>
        <w:widowControl/>
        <w:shd w:val="clear" w:color="auto" w:fill="FFFFFF"/>
        <w:spacing w:line="240" w:lineRule="auto"/>
        <w:jc w:val="left"/>
        <w:rPr>
          <w:rFonts w:hint="eastAsia" w:ascii="方正兰亭黑简体" w:hAnsi="方正兰亭黑简体" w:eastAsia="方正兰亭黑简体" w:cs="方正兰亭黑简体"/>
          <w:b/>
          <w:bCs/>
          <w:color w:val="auto"/>
          <w:sz w:val="22"/>
          <w:szCs w:val="22"/>
          <w:highlight w:val="none"/>
          <w:u w:val="none"/>
          <w:lang w:val="en-US" w:eastAsia="zh-CN"/>
        </w:rPr>
      </w:pPr>
      <w:r>
        <w:rPr>
          <w:rFonts w:hint="eastAsia" w:ascii="方正兰亭黑简体" w:hAnsi="方正兰亭黑简体" w:eastAsia="方正兰亭黑简体" w:cs="方正兰亭黑简体"/>
          <w:b/>
          <w:bCs/>
          <w:color w:val="auto"/>
          <w:sz w:val="22"/>
          <w:szCs w:val="22"/>
          <w:highlight w:val="none"/>
          <w:u w:val="none"/>
          <w:lang w:val="en-US" w:eastAsia="zh-CN"/>
        </w:rPr>
        <w:t>3、培训服务：</w:t>
      </w:r>
    </w:p>
    <w:p w14:paraId="4BC31BD8">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1）乙方应承诺提供原厂技术服务：提供乙方售后服务承诺函，由乙方工程师负责安装培训。</w:t>
      </w:r>
    </w:p>
    <w:p w14:paraId="1CF0A68C">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2）乙方须承诺提供该货物的技术培训、技术支持和维修巡检服务，服务内容包括免费对操作人员进行操作及维修保养现场培训并定期巡检。</w:t>
      </w:r>
    </w:p>
    <w:p w14:paraId="436103FD">
      <w:pPr>
        <w:widowControl/>
        <w:shd w:val="clear" w:color="auto" w:fill="FFFFFF"/>
        <w:spacing w:line="240" w:lineRule="auto"/>
        <w:jc w:val="left"/>
        <w:rPr>
          <w:rFonts w:hint="eastAsia" w:ascii="方正兰亭黑简体" w:hAnsi="方正兰亭黑简体" w:eastAsia="方正兰亭黑简体" w:cs="方正兰亭黑简体"/>
          <w:b/>
          <w:bCs/>
          <w:color w:val="auto"/>
          <w:sz w:val="22"/>
          <w:szCs w:val="22"/>
          <w:highlight w:val="none"/>
          <w:u w:val="none"/>
          <w:lang w:val="en-US" w:eastAsia="zh-CN"/>
        </w:rPr>
      </w:pPr>
      <w:r>
        <w:rPr>
          <w:rFonts w:hint="eastAsia" w:ascii="方正兰亭黑简体" w:hAnsi="方正兰亭黑简体" w:eastAsia="方正兰亭黑简体" w:cs="方正兰亭黑简体"/>
          <w:b/>
          <w:bCs/>
          <w:color w:val="auto"/>
          <w:sz w:val="22"/>
          <w:szCs w:val="22"/>
          <w:highlight w:val="none"/>
          <w:u w:val="none"/>
          <w:lang w:val="en-US" w:eastAsia="zh-CN"/>
        </w:rPr>
        <w:t>4、履约验收：</w:t>
      </w:r>
    </w:p>
    <w:p w14:paraId="3CFAD159">
      <w:pPr>
        <w:widowControl/>
        <w:shd w:val="clear" w:color="auto" w:fill="FFFFFF"/>
        <w:spacing w:line="240" w:lineRule="auto"/>
        <w:jc w:val="left"/>
        <w:rPr>
          <w:rFonts w:hint="eastAsia"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验收方法：甲方组织内部专家评审。</w:t>
      </w:r>
    </w:p>
    <w:p w14:paraId="38C7A985">
      <w:pPr>
        <w:widowControl/>
        <w:shd w:val="clear" w:color="auto" w:fill="FFFFFF"/>
        <w:spacing w:line="240" w:lineRule="auto"/>
        <w:jc w:val="left"/>
        <w:rPr>
          <w:rFonts w:hint="default" w:ascii="方正兰亭黑简体" w:hAnsi="方正兰亭黑简体" w:eastAsia="方正兰亭黑简体" w:cs="方正兰亭黑简体"/>
          <w:color w:val="auto"/>
          <w:sz w:val="22"/>
          <w:szCs w:val="22"/>
          <w:highlight w:val="none"/>
          <w:u w:val="none"/>
          <w:lang w:val="en-US" w:eastAsia="zh-CN"/>
        </w:rPr>
      </w:pPr>
      <w:r>
        <w:rPr>
          <w:rFonts w:hint="eastAsia" w:ascii="方正兰亭黑简体" w:hAnsi="方正兰亭黑简体" w:eastAsia="方正兰亭黑简体" w:cs="方正兰亭黑简体"/>
          <w:color w:val="auto"/>
          <w:sz w:val="22"/>
          <w:szCs w:val="22"/>
          <w:highlight w:val="none"/>
          <w:u w:val="none"/>
          <w:lang w:val="en-US" w:eastAsia="zh-CN"/>
        </w:rPr>
        <w:t>验收标准：满足技术和商务要求。</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3"/>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项目编号：HFBX2026036</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C5AA5F2-60F6-46E9-9E87-7941D7E410E5}"/>
  </w:font>
  <w:font w:name="黑体">
    <w:panose1 w:val="02010609060101010101"/>
    <w:charset w:val="86"/>
    <w:family w:val="auto"/>
    <w:pitch w:val="default"/>
    <w:sig w:usb0="800002BF" w:usb1="38CF7CFA" w:usb2="00000016" w:usb3="00000000" w:csb0="00040001" w:csb1="00000000"/>
    <w:embedRegular r:id="rId2" w:fontKey="{C4972D5F-0755-420E-8173-4A62D1EC6BB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3" w:fontKey="{6C3A7689-6674-450E-92D9-5EDBCD604C36}"/>
  </w:font>
  <w:font w:name="华文楷体">
    <w:panose1 w:val="02010600040101010101"/>
    <w:charset w:val="86"/>
    <w:family w:val="auto"/>
    <w:pitch w:val="default"/>
    <w:sig w:usb0="A00002BF" w:usb1="78CF7CFB" w:usb2="00000016" w:usb3="00000000" w:csb0="6006009F" w:csb1="DFD70000"/>
    <w:embedRegular r:id="rId4" w:fontKey="{22930FED-93F7-40C1-8FDB-B9BEF68EBE53}"/>
  </w:font>
  <w:font w:name="方正仿宋_GB2312">
    <w:panose1 w:val="02000000000000000000"/>
    <w:charset w:val="86"/>
    <w:family w:val="auto"/>
    <w:pitch w:val="default"/>
    <w:sig w:usb0="A00002BF" w:usb1="184F6CFA" w:usb2="00000012" w:usb3="00000000" w:csb0="00040001" w:csb1="00000000"/>
    <w:embedRegular r:id="rId5" w:fontKey="{8972C38B-9E7A-4261-AE54-4907F8783918}"/>
  </w:font>
  <w:font w:name="仿宋">
    <w:panose1 w:val="02010609060101010101"/>
    <w:charset w:val="86"/>
    <w:family w:val="modern"/>
    <w:pitch w:val="default"/>
    <w:sig w:usb0="800002BF" w:usb1="38CF7CFA" w:usb2="00000016" w:usb3="00000000" w:csb0="00040001" w:csb1="00000000"/>
    <w:embedRegular r:id="rId6" w:fontKey="{9C9D236B-F103-4439-B16A-AAEE6F3824D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0317"/>
    <w:rsid w:val="02675436"/>
    <w:rsid w:val="029C08D4"/>
    <w:rsid w:val="035A42B0"/>
    <w:rsid w:val="04B31D0C"/>
    <w:rsid w:val="0875321F"/>
    <w:rsid w:val="09642E33"/>
    <w:rsid w:val="0B7B6E53"/>
    <w:rsid w:val="146C6B60"/>
    <w:rsid w:val="15285D7F"/>
    <w:rsid w:val="157E6317"/>
    <w:rsid w:val="15D04D45"/>
    <w:rsid w:val="1B307278"/>
    <w:rsid w:val="1DF9272E"/>
    <w:rsid w:val="22AA0589"/>
    <w:rsid w:val="23ED4A8D"/>
    <w:rsid w:val="24050543"/>
    <w:rsid w:val="26C52776"/>
    <w:rsid w:val="29F67DF6"/>
    <w:rsid w:val="2DAA3F84"/>
    <w:rsid w:val="2E691D1D"/>
    <w:rsid w:val="2FB07FD7"/>
    <w:rsid w:val="37521B51"/>
    <w:rsid w:val="3A774F92"/>
    <w:rsid w:val="3CFB52B6"/>
    <w:rsid w:val="3D6469F5"/>
    <w:rsid w:val="3DBA1AA2"/>
    <w:rsid w:val="3E5C4869"/>
    <w:rsid w:val="3FCC680A"/>
    <w:rsid w:val="41007DAA"/>
    <w:rsid w:val="45DB0FAA"/>
    <w:rsid w:val="480A63EB"/>
    <w:rsid w:val="4A2362AE"/>
    <w:rsid w:val="4AFC4A60"/>
    <w:rsid w:val="4CC21E26"/>
    <w:rsid w:val="4EFD134C"/>
    <w:rsid w:val="51D0014B"/>
    <w:rsid w:val="51D535C6"/>
    <w:rsid w:val="55CF5109"/>
    <w:rsid w:val="57117CB6"/>
    <w:rsid w:val="573107A3"/>
    <w:rsid w:val="5AEA704B"/>
    <w:rsid w:val="5CB31D19"/>
    <w:rsid w:val="5D66061F"/>
    <w:rsid w:val="5E8720EC"/>
    <w:rsid w:val="5EE9209B"/>
    <w:rsid w:val="62DD78C6"/>
    <w:rsid w:val="63DF4A20"/>
    <w:rsid w:val="684F045C"/>
    <w:rsid w:val="699E1F48"/>
    <w:rsid w:val="6C3138A4"/>
    <w:rsid w:val="6E3767B2"/>
    <w:rsid w:val="6FC06751"/>
    <w:rsid w:val="769D2894"/>
    <w:rsid w:val="794117F3"/>
    <w:rsid w:val="7C2C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 w:type="paragraph" w:customStyle="1" w:styleId="24">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bfe1a691-2df4-4b3d-b7f2-73da2df70df8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820d67fb-9d22-47ea-addb-a47a16cec430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a4e18f25-ffc6-41eb-9a12-64042fa3b568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f6d50cf8-5db5-4274-9bab-fba86d1826bc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15FDDBBC</paraID>
      <start>0</start>
      <end>2</end>
      <status>unmodified</status>
      <modifiedWord/>
      <trackRevisions>false</trackRevisions>
    </reviewItem>
    <reviewItem>
      <errorID>783d6a6d-fc6c-453f-884f-addd013bcb68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12D10EFB</paraID>
      <start>0</start>
      <end>2</end>
      <status>unmodified</status>
      <modifiedWord/>
      <trackRevisions>false</trackRevisions>
    </reviewItem>
    <reviewItem>
      <errorID>a8ebe85c-d572-468c-a767-ac06db02105c</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63FED2D5</paraID>
      <start>0</start>
      <end>2</end>
      <status>unmodified</status>
      <modifiedWord/>
      <trackRevisions>false</trackRevisions>
    </reviewItem>
    <reviewItem>
      <errorID>26ac59ff-1f98-4d99-8ada-8459202cc442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6C242F79</paraID>
      <start>0</start>
      <end>2</end>
      <status>unmodified</status>
      <modifiedWord/>
      <trackRevisions>false</trackRevisions>
    </reviewItem>
    <reviewItem>
      <errorID>dedb8389-0c6b-4ed7-966a-fa3e9e90603a</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3A4C1D70</paraID>
      <start>0</start>
      <end>2</end>
      <status>unmodified</status>
      <modifiedWord/>
      <trackRevisions>false</trackRevisions>
    </reviewItem>
    <reviewItem>
      <errorID>c9e34e20-bced-42d5-bbeb-86c96614c83c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5324F000</paraID>
      <start>0</start>
      <end>2</end>
      <status>unmodified</status>
      <modifiedWord/>
      <trackRevisions>false</trackRevisions>
    </reviewItem>
    <reviewItem>
      <errorID>8f976122-761b-46e0-bfa3-4c3913acc73f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154345A6</paraID>
      <start>0</start>
      <end>2</end>
      <status>unmodified</status>
      <modifiedWord/>
      <trackRevisions>false</trackRevisions>
    </reviewItem>
    <reviewItem>
      <errorID>fc95e17d-f814-4344-9770-5dc12fb7c6ab</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9814147</paraID>
      <start>0</start>
      <end>2</end>
      <status>unmodified</status>
      <modifiedWord/>
      <trackRevisions>false</trackRevisions>
    </reviewItem>
    <reviewItem>
      <errorID>d4d5c8a3-48d7-479a-940c-1f40c4bf9170</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436103FD</paraID>
      <start>0</start>
      <end>2</end>
      <status>unmodified</status>
      <modifiedWord/>
      <trackRevisions>false</trackRevisions>
    </reviewItem>
    <reviewItem>
      <errorID>78771d90-de51-47eb-ba79-0c6a8a630a72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f507ddaf-9c2b-4583-81b4-c5429a7ac00c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fc6863b1-60a5-4d95-a7e3-b2c94446c277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4ddbe313-69ee-454e-b2f4-873d99e9e0e2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6d96223c-3a10-4f20-bb32-af1c6b9600b7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78c4c547-2e95-425d-9679-a1150b517534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fdbe6e47-5788-425d-bfbd-5512dae7b38f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7c92c182-302a-46bd-9ef4-526614c27c4b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f99231-e193-4ee6-b62a-48f17ea82bb5}">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2254</Words>
  <Characters>2534</Characters>
  <Lines>0</Lines>
  <Paragraphs>0</Paragraphs>
  <TotalTime>1</TotalTime>
  <ScaleCrop>false</ScaleCrop>
  <LinksUpToDate>false</LinksUpToDate>
  <CharactersWithSpaces>2539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2026-05-15T05:15:25Z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