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POE交换机及电源模块采购技术需求</w:t>
      </w:r>
    </w:p>
    <w:p>
      <w:pPr>
        <w:spacing w:line="360" w:lineRule="auto"/>
        <w:ind w:firstLine="420" w:firstLineChars="0"/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拟采购8台交换机和8个交换机电源模块，技术指标如下：</w:t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1、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交换机：</w:t>
      </w:r>
    </w:p>
    <w:tbl>
      <w:tblPr>
        <w:tblStyle w:val="3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指标项</w:t>
            </w: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具体技术规格参数要求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硬件指标</w:t>
            </w: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交换容量≥672Gbps,包转发率≥156Mpps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固化10/100/1000M以太网端口≥24，10G/1G SFP+光接口≥4个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支持POE和POE+远程供电，POE+同时可供电端口数≥24个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产品端口浪涌抗扰度≥10KV，即具备10KV的防雷能力；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>配备1000瓦电源2个；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软件功能</w:t>
            </w: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支持RIP/RIPng、OSPFv2/OSPFv3等三层路由协议；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支持SAVI功能，可防止地址解析欺骗；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32"/>
              </w:rPr>
              <w:t>支持快速以太网链路检测协议，可快速检测链路的通断和光纤链路的单向性，并支持端口下的环路检测功能。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支持特有的CPU保护策略，对发往CPU的数据流，进行流区分和优先级队列分级处理，并根据需要实施带宽限速，充分保护CPU不被非法流量占用、恶意攻击和资源消耗。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支持虚拟化功能，可将多台物理设备虚拟化为一台逻辑设备统一管理，并且链路故障的收敛时间≤50ms；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tabs>
                <w:tab w:val="left" w:pos="1875"/>
              </w:tabs>
              <w:spacing w:line="360" w:lineRule="auto"/>
              <w:rPr>
                <w:rFonts w:hint="default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支持被我校SDN控制器锐捷INC纳管；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产品资质</w:t>
            </w: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具备</w:t>
            </w:r>
            <w:r>
              <w:rPr>
                <w:rFonts w:hint="eastAsia"/>
                <w:color w:val="000000"/>
                <w:sz w:val="24"/>
                <w:szCs w:val="32"/>
              </w:rPr>
              <w:t>工信部三层交换机进网许可证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为保证IPv6的可部署性和应用性，所投交换机需具备IPv6 Ready Phase2认证证书，要求投标产品型号与获证产品型号一致。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br w:type="page"/>
      </w:r>
    </w:p>
    <w:p>
      <w:pPr>
        <w:pStyle w:val="2"/>
        <w:spacing w:line="360" w:lineRule="auto"/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交换机电源模块</w:t>
      </w: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：</w:t>
      </w:r>
    </w:p>
    <w:tbl>
      <w:tblPr>
        <w:tblStyle w:val="4"/>
        <w:tblW w:w="91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指标项</w:t>
            </w:r>
          </w:p>
        </w:tc>
        <w:tc>
          <w:tcPr>
            <w:tcW w:w="7416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具体技术规格参数要求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尺寸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90mm*215mm*40mm（参考数值）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额定输入电压[V]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100V AC~130V AC; 50/60HZ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200V AC~240V AC; 50/60HZ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240V DC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输入电压范围[V]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90V AC~190V AC; 45HZ~65HZ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190V DC~290V DC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最大输入电流[A]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100V AC~130V AC: 12A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200V AC~240V AC: 8A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240V DC: 8A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额定输出电压[V]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56V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额定输出电流[A]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100V AC~130V AC输入：16.08A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200V AC~240V AC和240V DC输入: 总功率1000W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电源散热方式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风冷散热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热插拔</w:t>
            </w:r>
          </w:p>
        </w:tc>
        <w:tc>
          <w:tcPr>
            <w:tcW w:w="7416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支持</w:t>
            </w:r>
          </w:p>
        </w:tc>
      </w:tr>
    </w:tbl>
    <w:p>
      <w:pPr>
        <w:spacing w:line="360" w:lineRule="auto"/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报价厂商应提供具体的产品品牌、型号，对技术指标进行应答，并提供交换机原厂对本项目售后服务承诺函。</w:t>
      </w:r>
      <w:bookmarkStart w:id="0" w:name="_GoBack"/>
      <w:bookmarkEnd w:id="0"/>
    </w:p>
    <w:p>
      <w:pPr>
        <w:spacing w:line="360" w:lineRule="auto"/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项目预算金额99000元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1FCF6CF5"/>
    <w:rsid w:val="35F63271"/>
    <w:rsid w:val="52E76EA3"/>
    <w:rsid w:val="53CB58F2"/>
    <w:rsid w:val="5E5F2278"/>
    <w:rsid w:val="775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5"/>
    </w:pPr>
    <w:rPr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2023-09-14T05:27:00Z</dcterms:created>
  <dc:creator>jerusalem</dc:creator>
  <cp:lastModifiedBy>仲杰</cp:lastModifiedBy>
  <dcterms:modified xsi:type="dcterms:W3CDTF">2023-09-15T12:36:00Z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61097D99F5734DB2957B4E5B43FD0D26_12</vt:lpwstr>
  </property>
</Properties>
</file>