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7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64"/>
        <w:gridCol w:w="5003"/>
        <w:gridCol w:w="99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产品名称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产品型号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货期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温度数据采集模块</w:t>
            </w:r>
          </w:p>
        </w:tc>
        <w:tc>
          <w:tcPr>
            <w:tcW w:w="708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黑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NI9213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模块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Helvetica"/>
                <w:kern w:val="0"/>
                <w:sz w:val="24"/>
                <w:szCs w:val="24"/>
              </w:rPr>
              <w:t xml:space="preserve">16 TC, </w:t>
            </w:r>
            <w:r>
              <w:rPr>
                <w:rFonts w:hint="eastAsia" w:ascii="新宋体" w:hAnsi="新宋体" w:eastAsia="新宋体" w:cs="Helvetica"/>
                <w:kern w:val="0"/>
                <w:sz w:val="24"/>
                <w:szCs w:val="24"/>
              </w:rPr>
              <w:t>±</w:t>
            </w:r>
            <w:r>
              <w:rPr>
                <w:rFonts w:ascii="新宋体" w:hAnsi="新宋体" w:eastAsia="新宋体" w:cs="Helvetica"/>
                <w:kern w:val="0"/>
                <w:sz w:val="24"/>
                <w:szCs w:val="24"/>
              </w:rPr>
              <w:t xml:space="preserve">78 mV, 24 </w:t>
            </w:r>
            <w:r>
              <w:rPr>
                <w:rFonts w:hint="eastAsia" w:ascii="新宋体" w:hAnsi="新宋体" w:eastAsia="新宋体" w:cs="黑体"/>
                <w:kern w:val="0"/>
                <w:sz w:val="24"/>
                <w:szCs w:val="24"/>
              </w:rPr>
              <w:t>位，</w:t>
            </w:r>
            <w:r>
              <w:rPr>
                <w:rFonts w:ascii="新宋体" w:hAnsi="新宋体" w:eastAsia="新宋体" w:cs="Helvetica"/>
                <w:kern w:val="0"/>
                <w:sz w:val="24"/>
                <w:szCs w:val="24"/>
              </w:rPr>
              <w:t xml:space="preserve">75 S/s </w:t>
            </w:r>
            <w:r>
              <w:rPr>
                <w:rFonts w:hint="eastAsia" w:ascii="新宋体" w:hAnsi="新宋体" w:eastAsia="新宋体" w:cs="黑体"/>
                <w:kern w:val="0"/>
                <w:sz w:val="24"/>
                <w:szCs w:val="24"/>
              </w:rPr>
              <w:t>多路综合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•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弹簧端子连接 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•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TimesNewRomanPSMT"/>
                <w:kern w:val="0"/>
                <w:sz w:val="24"/>
                <w:szCs w:val="24"/>
              </w:rPr>
              <w:t xml:space="preserve">50 Hz/60 Hz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 xml:space="preserve">噪声抑制 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•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测量灵敏度最高</w:t>
            </w:r>
            <w:r>
              <w:rPr>
                <w:rFonts w:ascii="新宋体" w:hAnsi="新宋体" w:eastAsia="新宋体" w:cs="TimesNewRomanPSMT"/>
                <w:kern w:val="0"/>
                <w:sz w:val="24"/>
                <w:szCs w:val="24"/>
              </w:rPr>
              <w:t>0.02 °C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•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TimesNewRomanPSMT"/>
                <w:kern w:val="0"/>
                <w:sz w:val="24"/>
                <w:szCs w:val="24"/>
              </w:rPr>
              <w:t>250 Vrms, CAT II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</w:rPr>
              <w:t>，通道对地隔离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4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台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电子天平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U</w:t>
            </w:r>
            <w:r>
              <w:rPr>
                <w:rFonts w:ascii="新宋体" w:hAnsi="新宋体" w:eastAsia="新宋体"/>
                <w:sz w:val="24"/>
                <w:szCs w:val="24"/>
              </w:rPr>
              <w:t>W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4200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H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量程:4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200g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精度：0</w:t>
            </w:r>
            <w:r>
              <w:rPr>
                <w:rFonts w:ascii="新宋体" w:hAnsi="新宋体" w:eastAsia="新宋体"/>
                <w:sz w:val="24"/>
                <w:szCs w:val="24"/>
              </w:rPr>
              <w:t>.01g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重复性：0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.01g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线性：0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.02g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平均响应时间：1</w:t>
            </w:r>
            <w:r>
              <w:rPr>
                <w:rFonts w:ascii="新宋体" w:hAnsi="新宋体" w:eastAsia="新宋体"/>
                <w:sz w:val="24"/>
                <w:szCs w:val="24"/>
              </w:rPr>
              <w:t>.5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-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2.5S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称重尺寸1</w:t>
            </w:r>
            <w:r>
              <w:rPr>
                <w:rFonts w:ascii="新宋体" w:hAnsi="新宋体" w:eastAsia="新宋体"/>
                <w:sz w:val="24"/>
                <w:szCs w:val="24"/>
              </w:rPr>
              <w:t>79X180mm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2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台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K型热电偶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型号：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YCZK-WRNK-105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直径5</w:t>
            </w:r>
            <w:r>
              <w:rPr>
                <w:rFonts w:ascii="新宋体" w:hAnsi="新宋体" w:eastAsia="新宋体"/>
                <w:sz w:val="24"/>
                <w:szCs w:val="24"/>
              </w:rPr>
              <w:t>mm  L=300mm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/>
                <w:sz w:val="24"/>
                <w:szCs w:val="24"/>
              </w:rPr>
              <w:t>0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-</w:t>
            </w:r>
            <w:r>
              <w:rPr>
                <w:rFonts w:ascii="新宋体" w:hAnsi="新宋体" w:eastAsia="新宋体"/>
                <w:sz w:val="24"/>
                <w:szCs w:val="24"/>
              </w:rPr>
              <w:t>800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℃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无固定装置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100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支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4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压力变送器及记录仪（气、液两用）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压力变送器：Y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CZK-401B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量程</w:t>
            </w:r>
            <w:r>
              <w:rPr>
                <w:rFonts w:ascii="新宋体" w:hAnsi="新宋体" w:eastAsia="新宋体"/>
                <w:sz w:val="24"/>
                <w:szCs w:val="24"/>
              </w:rPr>
              <w:t>0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-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1Mpa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安装螺纹</w:t>
            </w:r>
            <w:r>
              <w:rPr>
                <w:rFonts w:ascii="新宋体" w:hAnsi="新宋体" w:eastAsia="新宋体"/>
                <w:sz w:val="24"/>
                <w:szCs w:val="24"/>
              </w:rPr>
              <w:t>M20X1.5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记录仪：Y</w:t>
            </w:r>
            <w:r>
              <w:rPr>
                <w:rFonts w:ascii="新宋体" w:hAnsi="新宋体" w:eastAsia="新宋体"/>
                <w:sz w:val="24"/>
                <w:szCs w:val="24"/>
              </w:rPr>
              <w:t>CZK-R7100  2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通道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显示屏：</w:t>
            </w:r>
            <w:r>
              <w:rPr>
                <w:rFonts w:ascii="新宋体" w:hAnsi="新宋体" w:eastAsia="新宋体"/>
                <w:sz w:val="24"/>
                <w:szCs w:val="24"/>
              </w:rPr>
              <w:t>7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英寸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带</w:t>
            </w:r>
            <w:r>
              <w:rPr>
                <w:rFonts w:ascii="新宋体" w:hAnsi="新宋体" w:eastAsia="新宋体"/>
                <w:sz w:val="24"/>
                <w:szCs w:val="24"/>
              </w:rPr>
              <w:t>485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通讯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1套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5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激光片光源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 xml:space="preserve">MGL-W-532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平均功率2</w:t>
            </w:r>
            <w:r>
              <w:rPr>
                <w:rFonts w:ascii="新宋体" w:hAnsi="新宋体" w:eastAsia="新宋体"/>
                <w:sz w:val="24"/>
                <w:szCs w:val="24"/>
              </w:rPr>
              <w:t>W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，功率稳定度＜5</w:t>
            </w:r>
            <w:r>
              <w:rPr>
                <w:rFonts w:ascii="新宋体" w:hAnsi="新宋体" w:eastAsia="新宋体"/>
                <w:sz w:val="24"/>
                <w:szCs w:val="24"/>
              </w:rPr>
              <w:t>%,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配4</w:t>
            </w:r>
            <w:r>
              <w:rPr>
                <w:rFonts w:ascii="新宋体" w:hAnsi="新宋体" w:eastAsia="新宋体"/>
                <w:sz w:val="24"/>
                <w:szCs w:val="24"/>
              </w:rPr>
              <w:t>5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℃线性棱角镜，功率可调，配P</w:t>
            </w:r>
            <w:r>
              <w:rPr>
                <w:rFonts w:ascii="新宋体" w:hAnsi="新宋体" w:eastAsia="新宋体"/>
                <w:sz w:val="24"/>
                <w:szCs w:val="24"/>
              </w:rPr>
              <w:t>SU-H-LED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电源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6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气体质量流量控制器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型号：D07-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60G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介质：C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H4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口径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1/2”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流量</w:t>
            </w:r>
            <w:r>
              <w:rPr>
                <w:rFonts w:ascii="新宋体" w:hAnsi="新宋体" w:eastAsia="新宋体"/>
                <w:sz w:val="24"/>
                <w:szCs w:val="24"/>
              </w:rPr>
              <w:t>200slm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7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B05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水冷辐射热流传感器</w:t>
            </w:r>
          </w:p>
        </w:tc>
        <w:tc>
          <w:tcPr>
            <w:tcW w:w="708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STT-25-50-R/WF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探头直径：25mm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量程：0-</w:t>
            </w:r>
            <w:r>
              <w:rPr>
                <w:rFonts w:ascii="新宋体" w:hAnsi="新宋体" w:eastAsia="新宋体"/>
                <w:sz w:val="24"/>
                <w:szCs w:val="24"/>
              </w:rPr>
              <w:t>8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0KW/</w:t>
            </w:r>
            <w:r>
              <w:rPr>
                <w:rFonts w:hint="eastAsia" w:ascii="新宋体" w:hAnsi="新宋体" w:eastAsia="新宋体" w:cs="宋体"/>
                <w:sz w:val="24"/>
                <w:szCs w:val="24"/>
              </w:rPr>
              <w:t xml:space="preserve">㎡ </w:t>
            </w:r>
            <w:r>
              <w:rPr>
                <w:rFonts w:ascii="新宋体" w:hAnsi="新宋体" w:eastAsia="新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校正精度：±3%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线性：±2%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sz w:val="24"/>
                <w:szCs w:val="24"/>
              </w:rPr>
              <w:t xml:space="preserve">校正系数：2个 </w:t>
            </w:r>
            <w:r>
              <w:rPr>
                <w:rFonts w:ascii="新宋体" w:hAnsi="新宋体" w:eastAsia="新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冷却方式：水冷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sz w:val="24"/>
                <w:szCs w:val="24"/>
              </w:rPr>
              <w:t>安装方式：法兰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二周</w:t>
            </w:r>
          </w:p>
        </w:tc>
      </w:tr>
    </w:tbl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船舶火灾实验测试系统升级改造技术参数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667C4"/>
    <w:rsid w:val="00003C14"/>
    <w:rsid w:val="000F2879"/>
    <w:rsid w:val="001614E2"/>
    <w:rsid w:val="00293B12"/>
    <w:rsid w:val="00410A3D"/>
    <w:rsid w:val="004320C9"/>
    <w:rsid w:val="0054291D"/>
    <w:rsid w:val="00596118"/>
    <w:rsid w:val="006E2E71"/>
    <w:rsid w:val="008062FB"/>
    <w:rsid w:val="00BC7FD6"/>
    <w:rsid w:val="00C81FBC"/>
    <w:rsid w:val="00E32561"/>
    <w:rsid w:val="00ED2A8F"/>
    <w:rsid w:val="1A8667C4"/>
    <w:rsid w:val="75ED08DC"/>
    <w:rsid w:val="770269E4"/>
    <w:rsid w:val="7A9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13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2021-10-22T04:33:00Z</dcterms:created>
  <dc:creator>Administrator</dc:creator>
  <cp:lastModifiedBy>仲杰</cp:lastModifiedBy>
  <dcterms:modified xsi:type="dcterms:W3CDTF">2021-10-28T03:00:26Z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3C6B674E7D9048D09801B2ECACC55DE5</vt:lpwstr>
  </property>
</Properties>
</file>