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2D282B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</w:rPr>
      </w:pPr>
    </w:p>
    <w:p w14:paraId="006AC94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</w:rPr>
      </w:pPr>
    </w:p>
    <w:p w14:paraId="1BB8392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</w:rPr>
      </w:pPr>
    </w:p>
    <w:p w14:paraId="0574716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eastAsia="zh-CN"/>
        </w:rPr>
        <w:t>危险化学品及易制毒化学品专业知识培训与考证服务</w:t>
      </w:r>
    </w:p>
    <w:p w14:paraId="5F2EFCD4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  <w:t>比选文件</w:t>
      </w:r>
    </w:p>
    <w:p w14:paraId="28A63E00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</w:pPr>
    </w:p>
    <w:p w14:paraId="0CA5543B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</w:pPr>
    </w:p>
    <w:p w14:paraId="3D9D00D3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8"/>
          <w:szCs w:val="28"/>
          <w:highlight w:val="none"/>
          <w:lang w:eastAsia="zh-CN"/>
        </w:rPr>
        <w:t>HFBX2026011</w:t>
      </w:r>
    </w:p>
    <w:p w14:paraId="4B356AA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5B48835F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07E4A809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6A0F108C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5EFABC4D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5416AFF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bookmarkStart w:id="6" w:name="_GoBack"/>
      <w:bookmarkEnd w:id="6"/>
    </w:p>
    <w:p w14:paraId="05694FFB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342DFAF8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采购人：上海海事大学</w:t>
      </w:r>
    </w:p>
    <w:p w14:paraId="6301CB1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二〇二六年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三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月</w:t>
      </w:r>
    </w:p>
    <w:p w14:paraId="56D8363F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br w:type="page"/>
      </w:r>
    </w:p>
    <w:p w14:paraId="3FA5FE6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第一章 比选公告</w:t>
      </w:r>
    </w:p>
    <w:p w14:paraId="5E1CB3DE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为公开、公正、公平地做好各项货物与服务的采购工作，进一步提高采购过程的透明度，有利于我校选择性价比更高的产品及更优质的服务，欢迎各供应单位本着务实友好的工作态度，积极参与，并做好成本核算，进行一次性报价。我校将本着公开、公正、公平的工作原则，对各供应单位所提供的资料，进行综合评议，择优选购。为确保本次比选采购项目采购工作的顺利开展，请各报价单位按照下述要求提供报价单等相关资料。具体要求及相关注意事项如下：</w:t>
      </w:r>
    </w:p>
    <w:p w14:paraId="0E2D2351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一、项目基本情况</w:t>
      </w:r>
    </w:p>
    <w:p w14:paraId="74B0A1D4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HFBX2026011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；</w:t>
      </w:r>
    </w:p>
    <w:p w14:paraId="373D4631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项目名称：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危险化学品及易制毒化学品专业知识培训与考证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服务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；</w:t>
      </w:r>
    </w:p>
    <w:p w14:paraId="44BA892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采购方式：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学校比选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；</w:t>
      </w:r>
    </w:p>
    <w:p w14:paraId="432CCF0C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预算金额（亦是最高限价）：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人民币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11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万元；</w:t>
      </w:r>
    </w:p>
    <w:p w14:paraId="290FE171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采购需求：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本项目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对我校相关专业研究生及部分教师进行培训，使其掌握危险化学品及易制毒化学品法律法规、实验室使用危险化学品及易制毒化学品安全等相关知识，取得“危险化学品从业人员安全培训合格证书”“上海市易制毒化学品专业知识培训合格证书”。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拟采取比选方式实施采购。（具体要求详见比选文件—第二章节采购需求）</w:t>
      </w:r>
    </w:p>
    <w:p w14:paraId="65BBAFD1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服务期限：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zh-CN"/>
        </w:rPr>
        <w:t>2026年开展一期，在2026年9—10月完成培训及考证。</w:t>
      </w:r>
    </w:p>
    <w:p w14:paraId="61487CF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付款方式：中标单位在合同约定的时间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内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完成培训与考证服务工作后开具发票，学校在收到发票后15个工作日内全额支付费用。</w:t>
      </w:r>
    </w:p>
    <w:p w14:paraId="34EF3CE4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二、报价人的资格要求</w:t>
      </w:r>
    </w:p>
    <w:p w14:paraId="58FFC7E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1、符合《中华人民共和国政府采购法》第二十二条之供应商资格规定。</w:t>
      </w:r>
    </w:p>
    <w:p w14:paraId="67A4B0EC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2、供应商未被列入“信用中国”网站（www.creditchina.gov.cn）失信执行人名单、重大税收违法案件当事人名单，和中国政府采购网（www.ccgp.gov.cn）政府严重违法失信行为记录名单的供应商。</w:t>
      </w:r>
    </w:p>
    <w:p w14:paraId="34243CE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3、经营范围及拟投标货物（服务）符合本次比选要求，具有与本次投标货物（服务）相应的经营、代理（经销）资质，能全程参与并完成本项目，且具有较强的服务能力，以及畅通的问题响应机制和渠道等。</w:t>
      </w:r>
    </w:p>
    <w:p w14:paraId="0B8D63E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4、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应具备危险化学品及易制毒化学品专业知识培训与考证服务资质</w:t>
      </w:r>
    </w:p>
    <w:p w14:paraId="6D423F37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三、报名要求</w:t>
      </w:r>
    </w:p>
    <w:p w14:paraId="2180092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报名邮箱、时间：不单独组织报名，意向单位可在截止日期前递交响应文件。</w:t>
      </w:r>
    </w:p>
    <w:p w14:paraId="47EB2369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四、获取采购文件</w:t>
      </w:r>
    </w:p>
    <w:p w14:paraId="22BA469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获取方式：公告页面下方自行下载</w:t>
      </w:r>
    </w:p>
    <w:p w14:paraId="5F33DC36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bookmarkStart w:id="0" w:name="_Toc28359005"/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五、现场踏勘</w:t>
      </w:r>
      <w:bookmarkEnd w:id="0"/>
    </w:p>
    <w:p w14:paraId="6393E20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不组织</w:t>
      </w:r>
    </w:p>
    <w:p w14:paraId="3B52FB4A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六、响应文件提交</w:t>
      </w:r>
    </w:p>
    <w:p w14:paraId="797F0A10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bookmarkStart w:id="1" w:name="_Toc35393795"/>
      <w:bookmarkEnd w:id="1"/>
      <w:bookmarkStart w:id="2" w:name="_Toc35393626"/>
      <w:bookmarkStart w:id="3" w:name="OLE_LINK1"/>
      <w:bookmarkStart w:id="4" w:name="OLE_LINK2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截止</w:t>
      </w:r>
      <w:bookmarkEnd w:id="2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时间：2026年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3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27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日（周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五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）</w:t>
      </w:r>
      <w:bookmarkEnd w:id="3"/>
      <w:bookmarkEnd w:id="4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上午11时00分</w:t>
      </w:r>
    </w:p>
    <w:p w14:paraId="19B2134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提交方式：发送盖章扫描版PDF到指定邮箱，邮件名称：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项目编号+公司名称</w:t>
      </w:r>
    </w:p>
    <w:p w14:paraId="5F997FCD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邮箱地址：quotation@shmtu.edu.cn</w:t>
      </w:r>
    </w:p>
    <w:p w14:paraId="1EC8B77D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七、其他补充事宜</w:t>
      </w:r>
    </w:p>
    <w:p w14:paraId="1533EBFD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1.中标结果将通过发布比选公告的媒介进行公示，公示期为1个工作日，公示期内如对中标结果有异议可向校方提出书面质疑。</w:t>
      </w:r>
      <w:bookmarkStart w:id="5" w:name="_Toc35393627"/>
    </w:p>
    <w:p w14:paraId="03F0F785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2.</w:t>
      </w:r>
      <w:bookmarkEnd w:id="5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凡对本次采购提出询问，请按以下方式联系：</w:t>
      </w:r>
    </w:p>
    <w:p w14:paraId="4E545C0B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商务信息：仲老师021-38284707</w:t>
      </w:r>
    </w:p>
    <w:p w14:paraId="155BEAB7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技术信息：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苏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老师021-3828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4309</w:t>
      </w:r>
    </w:p>
    <w:p w14:paraId="0248245C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br w:type="page"/>
      </w:r>
    </w:p>
    <w:p w14:paraId="24A7818A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第二章 采购需求</w:t>
      </w:r>
    </w:p>
    <w:p w14:paraId="07D2AA44">
      <w:pPr>
        <w:spacing w:line="360" w:lineRule="auto"/>
        <w:rPr>
          <w:rFonts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一</w:t>
      </w:r>
      <w:r>
        <w:rPr>
          <w:rFonts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  <w:t>、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服务</w:t>
      </w:r>
      <w:r>
        <w:rPr>
          <w:rFonts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  <w:t>内容</w:t>
      </w:r>
    </w:p>
    <w:tbl>
      <w:tblPr>
        <w:tblStyle w:val="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2085"/>
        <w:gridCol w:w="7183"/>
      </w:tblGrid>
      <w:tr w14:paraId="7AA7D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694" w:type="dxa"/>
            <w:vAlign w:val="center"/>
          </w:tcPr>
          <w:p w14:paraId="101A2D07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2085" w:type="dxa"/>
            <w:vAlign w:val="center"/>
          </w:tcPr>
          <w:p w14:paraId="402242D3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  <w:lang w:val="en-US" w:eastAsia="zh-CN"/>
              </w:rPr>
              <w:t>项目</w:t>
            </w: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  <w:t>名称</w:t>
            </w:r>
          </w:p>
        </w:tc>
        <w:tc>
          <w:tcPr>
            <w:tcW w:w="7183" w:type="dxa"/>
            <w:vAlign w:val="center"/>
          </w:tcPr>
          <w:p w14:paraId="0D324909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  <w:t>服务说明</w:t>
            </w:r>
          </w:p>
        </w:tc>
      </w:tr>
      <w:tr w14:paraId="4804E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694" w:type="dxa"/>
            <w:vAlign w:val="center"/>
          </w:tcPr>
          <w:p w14:paraId="6457570B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2085" w:type="dxa"/>
            <w:vAlign w:val="center"/>
          </w:tcPr>
          <w:p w14:paraId="0381F11C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危险化学品及易制毒化学品专业知识培训与考证服务</w:t>
            </w:r>
          </w:p>
        </w:tc>
        <w:tc>
          <w:tcPr>
            <w:tcW w:w="7183" w:type="dxa"/>
            <w:vAlign w:val="center"/>
          </w:tcPr>
          <w:p w14:paraId="08556F77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培训对象为我校相关专业在校研究生及部分教师。约120名学员参加危险化学品从业人员安全培训及考证，约90名学员参加易制毒化学品专业知识培训及考证。实际支付金额按实际培训人数结算。</w:t>
            </w:r>
          </w:p>
        </w:tc>
      </w:tr>
    </w:tbl>
    <w:p w14:paraId="39E2A589">
      <w:pP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二</w:t>
      </w:r>
      <w:r>
        <w:rPr>
          <w:rFonts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  <w:t>、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服务要求</w:t>
      </w:r>
    </w:p>
    <w:p w14:paraId="1AED6480">
      <w:pPr>
        <w:spacing w:line="48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培训内容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包括但不限于危险化学品安全管理法律和法规，危险化学品安全管理和技术、职业卫生管理，危化品重大危险源与事故应急管理，危化品安全生产基础知识、安全管理制度、安全事故调查处理和应急救援、典型事故案例与事故分析，易制毒化学品概述和管理、易制毒化学品审批事项办事指南、非药品类易制毒化学品生产和经营备案网上办事指南、易制毒化学品法律法规等。</w:t>
      </w:r>
    </w:p>
    <w:p w14:paraId="5FCD37C7">
      <w:pPr>
        <w:spacing w:line="480" w:lineRule="auto"/>
        <w:jc w:val="left"/>
        <w:rPr>
          <w:rFonts w:hint="eastAsia" w:ascii="微软雅黑" w:hAnsi="微软雅黑" w:eastAsia="方正兰亭黑简体" w:cs="微软雅黑"/>
          <w:color w:val="auto"/>
          <w:sz w:val="22"/>
          <w:szCs w:val="22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培训时长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每年开展一期培训及考证。危险化学品法律法规及实验室使用危险化学品安全等相关知识培训2天，不少于16课时；易制毒化学品法律法规、实验室使用易制毒化学品安全等相关知识培训1天，不少于8课时。上述课时数包含考试时间。</w:t>
      </w:r>
    </w:p>
    <w:p w14:paraId="1AB4C662">
      <w:pPr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三、其他要求</w:t>
      </w:r>
    </w:p>
    <w:p w14:paraId="2D6773FC">
      <w:pPr>
        <w:spacing w:line="360" w:lineRule="auto"/>
        <w:rPr>
          <w:rFonts w:hint="default" w:ascii="微软雅黑" w:hAnsi="微软雅黑" w:eastAsia="微软雅黑" w:cs="微软雅黑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本项目一次</w:t>
      </w: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en-US" w:eastAsia="zh-CN"/>
        </w:rPr>
        <w:t>采购</w:t>
      </w: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，三年有效（2026—2028），中标单位完成当年度培训及考证服务后，在双方愿意的基础上，按照原中标价格续约下一年度的合同。</w:t>
      </w:r>
    </w:p>
    <w:p w14:paraId="1E43A622">
      <w:pPr>
        <w:spacing w:line="360" w:lineRule="auto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en-US" w:eastAsia="zh-CN"/>
        </w:rPr>
        <w:t>2、</w:t>
      </w: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由中标单位协调完成学员考试报名工作，培训结束当日由发证单位或其授权单位组织考试；若学员未取得证书，由中标单位继续开展培训，直到取得证书为止。</w:t>
      </w:r>
    </w:p>
    <w:p w14:paraId="6A53AA8F">
      <w:pPr>
        <w:spacing w:line="360" w:lineRule="auto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en-US" w:eastAsia="zh-CN"/>
        </w:rPr>
        <w:t>3、</w:t>
      </w: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由中标单位在我校指定地点集中开展现场培训及考证服务，具体考证与培训时间另行商定。</w:t>
      </w:r>
    </w:p>
    <w:p w14:paraId="5A6FBE99">
      <w:pPr>
        <w:spacing w:line="360" w:lineRule="auto"/>
        <w:rPr>
          <w:rFonts w:hint="default" w:ascii="微软雅黑" w:hAnsi="微软雅黑" w:eastAsia="微软雅黑" w:cs="微软雅黑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en-US" w:eastAsia="zh-CN"/>
        </w:rPr>
        <w:t>4、</w:t>
      </w: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报价应按照危险化学品从业人员安全培训及考证、易制毒化学品专业知识培训及考证分别按人均费用报价，金额包括完成本项目所需的一切费用及税费。</w:t>
      </w:r>
    </w:p>
    <w:p w14:paraId="1B256155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br w:type="page"/>
      </w:r>
    </w:p>
    <w:p w14:paraId="242B56B3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第三章 评审办法</w:t>
      </w:r>
    </w:p>
    <w:p w14:paraId="2DA9D43D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综合本项目的特点，根据相关法律法规的规定，本着保护竞争，维护采购工作公开、公平、公正原则，特制定本评审办法，作为选定本次采购中标人的依据。</w:t>
      </w:r>
    </w:p>
    <w:p w14:paraId="673FFF60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1、成立比选评审小组</w:t>
      </w:r>
    </w:p>
    <w:p w14:paraId="1D34F033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采购人将根据货物与服务的特点，依规组建比选小组，比选小组由3人或以上的单数组成。</w:t>
      </w:r>
    </w:p>
    <w:p w14:paraId="12EFA4B4">
      <w:pPr>
        <w:numPr>
          <w:ilvl w:val="0"/>
          <w:numId w:val="1"/>
        </w:num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具体评分细则如下：</w:t>
      </w:r>
    </w:p>
    <w:tbl>
      <w:tblPr>
        <w:tblStyle w:val="14"/>
        <w:tblW w:w="498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1330"/>
        <w:gridCol w:w="723"/>
        <w:gridCol w:w="7229"/>
      </w:tblGrid>
      <w:tr w14:paraId="4FA9B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330" w:type="pct"/>
            <w:vAlign w:val="center"/>
          </w:tcPr>
          <w:p w14:paraId="0E8E4E82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序号</w:t>
            </w:r>
          </w:p>
        </w:tc>
        <w:tc>
          <w:tcPr>
            <w:tcW w:w="669" w:type="pct"/>
            <w:vAlign w:val="center"/>
          </w:tcPr>
          <w:p w14:paraId="04667EC9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评审因素</w:t>
            </w:r>
          </w:p>
        </w:tc>
        <w:tc>
          <w:tcPr>
            <w:tcW w:w="364" w:type="pct"/>
            <w:vAlign w:val="center"/>
          </w:tcPr>
          <w:p w14:paraId="6B1AA947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分值</w:t>
            </w:r>
          </w:p>
        </w:tc>
        <w:tc>
          <w:tcPr>
            <w:tcW w:w="3635" w:type="pct"/>
            <w:vAlign w:val="center"/>
          </w:tcPr>
          <w:p w14:paraId="78DCF4D6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评分说明</w:t>
            </w:r>
          </w:p>
        </w:tc>
      </w:tr>
      <w:tr w14:paraId="25120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5000" w:type="pct"/>
            <w:gridSpan w:val="4"/>
            <w:vAlign w:val="center"/>
          </w:tcPr>
          <w:p w14:paraId="3C4E5B51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一、价格部分</w:t>
            </w:r>
          </w:p>
        </w:tc>
      </w:tr>
      <w:tr w14:paraId="14B22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30" w:type="pct"/>
            <w:vAlign w:val="center"/>
          </w:tcPr>
          <w:p w14:paraId="40A3FBEB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669" w:type="pct"/>
            <w:vAlign w:val="center"/>
          </w:tcPr>
          <w:p w14:paraId="6E043E2F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价格得分</w:t>
            </w:r>
          </w:p>
          <w:p w14:paraId="33D28CC8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（客观分）</w:t>
            </w:r>
          </w:p>
        </w:tc>
        <w:tc>
          <w:tcPr>
            <w:tcW w:w="364" w:type="pct"/>
            <w:vAlign w:val="center"/>
          </w:tcPr>
          <w:p w14:paraId="2F6FAA4D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20</w:t>
            </w:r>
          </w:p>
        </w:tc>
        <w:tc>
          <w:tcPr>
            <w:tcW w:w="3635" w:type="pct"/>
            <w:vAlign w:val="center"/>
          </w:tcPr>
          <w:p w14:paraId="69E5170C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采用低价优先法计算，即满足比选文件要求且最低的报价为基准价，其价格分为满分20分。其他报价单位的报价得分计算公式如下：报价得分＝20×（评标基准价/投标报价）。</w:t>
            </w:r>
          </w:p>
        </w:tc>
      </w:tr>
      <w:tr w14:paraId="4DE7C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5000" w:type="pct"/>
            <w:gridSpan w:val="4"/>
            <w:vAlign w:val="center"/>
          </w:tcPr>
          <w:p w14:paraId="11AA50BB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二、商务、技术部分</w:t>
            </w:r>
          </w:p>
        </w:tc>
      </w:tr>
      <w:tr w14:paraId="2540F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330" w:type="pct"/>
            <w:vAlign w:val="center"/>
          </w:tcPr>
          <w:p w14:paraId="4ED921D1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2</w:t>
            </w:r>
          </w:p>
        </w:tc>
        <w:tc>
          <w:tcPr>
            <w:tcW w:w="669" w:type="pct"/>
            <w:vAlign w:val="center"/>
          </w:tcPr>
          <w:p w14:paraId="7AF339FF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经验业绩</w:t>
            </w:r>
          </w:p>
          <w:p w14:paraId="6004DB21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（客观分）</w:t>
            </w:r>
          </w:p>
        </w:tc>
        <w:tc>
          <w:tcPr>
            <w:tcW w:w="364" w:type="pct"/>
            <w:vAlign w:val="center"/>
          </w:tcPr>
          <w:p w14:paraId="3557659E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15</w:t>
            </w:r>
          </w:p>
        </w:tc>
        <w:tc>
          <w:tcPr>
            <w:tcW w:w="3635" w:type="pct"/>
            <w:vAlign w:val="center"/>
          </w:tcPr>
          <w:p w14:paraId="74E23610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提供近3年（合同签订日期自2023年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月1日起至今）业绩案例。（每提供1个得5分；最高得15分）注：需提供相关业绩的合同复印件，否则将不予认可。</w:t>
            </w:r>
          </w:p>
        </w:tc>
      </w:tr>
      <w:tr w14:paraId="6AF94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330" w:type="pct"/>
            <w:vAlign w:val="center"/>
          </w:tcPr>
          <w:p w14:paraId="4780BF04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3</w:t>
            </w:r>
          </w:p>
        </w:tc>
        <w:tc>
          <w:tcPr>
            <w:tcW w:w="669" w:type="pct"/>
            <w:vAlign w:val="center"/>
          </w:tcPr>
          <w:p w14:paraId="312CC6C9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服务响应程度</w:t>
            </w:r>
          </w:p>
          <w:p w14:paraId="1DD2C7B1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（客观分）</w:t>
            </w:r>
          </w:p>
        </w:tc>
        <w:tc>
          <w:tcPr>
            <w:tcW w:w="364" w:type="pct"/>
            <w:vAlign w:val="center"/>
          </w:tcPr>
          <w:p w14:paraId="3A438D65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15</w:t>
            </w:r>
          </w:p>
        </w:tc>
        <w:tc>
          <w:tcPr>
            <w:tcW w:w="3635" w:type="pct"/>
            <w:vAlign w:val="center"/>
          </w:tcPr>
          <w:p w14:paraId="4C942918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针对第二章中的采购需求：不满足技术条款的，每项扣3分；扣完为止。</w:t>
            </w:r>
          </w:p>
        </w:tc>
      </w:tr>
      <w:tr w14:paraId="4D0BB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1" w:hRule="atLeast"/>
          <w:jc w:val="center"/>
        </w:trPr>
        <w:tc>
          <w:tcPr>
            <w:tcW w:w="330" w:type="pct"/>
            <w:vAlign w:val="center"/>
          </w:tcPr>
          <w:p w14:paraId="788752CD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4</w:t>
            </w:r>
          </w:p>
        </w:tc>
        <w:tc>
          <w:tcPr>
            <w:tcW w:w="66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A8085AB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zh-CN"/>
              </w:rPr>
              <w:t>服务方案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整体质量</w:t>
            </w:r>
          </w:p>
          <w:p w14:paraId="2F94F36C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（主观分）</w:t>
            </w:r>
          </w:p>
        </w:tc>
        <w:tc>
          <w:tcPr>
            <w:tcW w:w="364" w:type="pct"/>
            <w:vAlign w:val="center"/>
          </w:tcPr>
          <w:p w14:paraId="004B4B48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30</w:t>
            </w:r>
          </w:p>
        </w:tc>
        <w:tc>
          <w:tcPr>
            <w:tcW w:w="3635" w:type="pct"/>
            <w:vAlign w:val="center"/>
          </w:tcPr>
          <w:p w14:paraId="6393C2D9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优秀（21～30分）：方案整体质量高，方案合理可行性强，响应措施及时高效，项目进度安排紧凑合理。</w:t>
            </w:r>
          </w:p>
          <w:p w14:paraId="36A6F9CB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良好（11～20分）：方案整体质量较好，响应措施尚可，方案个别细节有待进一步完善。</w:t>
            </w:r>
          </w:p>
          <w:p w14:paraId="3EC9A561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一般（6～10分）：方案整体质量一般，合理性与可行性一般，存在风险但总体可控的。</w:t>
            </w:r>
          </w:p>
          <w:p w14:paraId="58DA62C3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较差（0～5分）：方案整体质量较差，与项目实际契合度低的。</w:t>
            </w:r>
          </w:p>
        </w:tc>
      </w:tr>
      <w:tr w14:paraId="3BB31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330" w:type="pct"/>
            <w:vAlign w:val="center"/>
          </w:tcPr>
          <w:p w14:paraId="56286725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5</w:t>
            </w:r>
          </w:p>
        </w:tc>
        <w:tc>
          <w:tcPr>
            <w:tcW w:w="669" w:type="pct"/>
            <w:vAlign w:val="center"/>
          </w:tcPr>
          <w:p w14:paraId="6709E7BB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服务承诺</w:t>
            </w:r>
          </w:p>
          <w:p w14:paraId="020BE35A">
            <w:pPr>
              <w:pStyle w:val="13"/>
              <w:ind w:firstLine="200"/>
              <w:rPr>
                <w:color w:val="auto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（主观分）</w:t>
            </w:r>
          </w:p>
        </w:tc>
        <w:tc>
          <w:tcPr>
            <w:tcW w:w="364" w:type="pct"/>
            <w:vAlign w:val="center"/>
          </w:tcPr>
          <w:p w14:paraId="1D1DB52F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20</w:t>
            </w:r>
          </w:p>
        </w:tc>
        <w:tc>
          <w:tcPr>
            <w:tcW w:w="3635" w:type="pct"/>
          </w:tcPr>
          <w:p w14:paraId="17BC9C7A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优秀（16～20分）：服务承诺等合理可行。</w:t>
            </w:r>
          </w:p>
          <w:p w14:paraId="39CBBAFA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良好（11～15分）：服务承诺等比较合理。</w:t>
            </w:r>
          </w:p>
          <w:p w14:paraId="57D0EDAC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一般（6～10分）：服务承诺等合理性与可行性一般。</w:t>
            </w:r>
          </w:p>
          <w:p w14:paraId="053ACC0F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较差（0～5分）：服务承诺等合理性与可行性较差。</w:t>
            </w:r>
          </w:p>
        </w:tc>
      </w:tr>
    </w:tbl>
    <w:p w14:paraId="6072BEB5">
      <w:pP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br w:type="page"/>
      </w:r>
    </w:p>
    <w:p w14:paraId="2D0B04EA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sectPr>
          <w:footerReference r:id="rId3" w:type="default"/>
          <w:pgSz w:w="11906" w:h="16838"/>
          <w:pgMar w:top="1440" w:right="1080" w:bottom="1440" w:left="1080" w:header="851" w:footer="992" w:gutter="0"/>
          <w:cols w:space="425" w:num="1"/>
          <w:docGrid w:type="lines" w:linePitch="312" w:charSpace="0"/>
        </w:sectPr>
      </w:pPr>
    </w:p>
    <w:p w14:paraId="1AC852B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第四章 格式附件</w:t>
      </w:r>
    </w:p>
    <w:p w14:paraId="1219D175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附件1：报价单</w:t>
      </w:r>
    </w:p>
    <w:p w14:paraId="038537F8">
      <w:pPr>
        <w:spacing w:line="440" w:lineRule="exact"/>
        <w:jc w:val="center"/>
        <w:rPr>
          <w:rFonts w:hint="eastAsia" w:ascii="宋体" w:hAnsi="宋体" w:eastAsia="宋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>报   价   单</w:t>
      </w:r>
    </w:p>
    <w:p w14:paraId="28C0DCFE">
      <w:pPr>
        <w:spacing w:line="440" w:lineRule="exact"/>
        <w:jc w:val="left"/>
        <w:rPr>
          <w:rFonts w:hint="eastAsia" w:ascii="黑体" w:hAnsi="华文楷体" w:eastAsia="黑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 xml:space="preserve">TO: 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上海海事大学 采购与招投标管理中心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          </w:t>
      </w:r>
      <w:r>
        <w:rPr>
          <w:rFonts w:hint="eastAsia" w:ascii="黑体" w:hAnsi="华文楷体" w:eastAsia="黑体"/>
          <w:color w:val="auto"/>
          <w:sz w:val="24"/>
          <w:highlight w:val="none"/>
        </w:rPr>
        <w:t>项目编号：</w:t>
      </w:r>
      <w:r>
        <w:rPr>
          <w:rFonts w:hint="eastAsia" w:ascii="黑体" w:hAnsi="华文楷体" w:eastAsia="黑体"/>
          <w:color w:val="auto"/>
          <w:sz w:val="24"/>
          <w:highlight w:val="none"/>
          <w:lang w:eastAsia="zh-CN"/>
        </w:rPr>
        <w:t>HFBX2026011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                  </w:t>
      </w:r>
    </w:p>
    <w:p w14:paraId="09EAC316">
      <w:pPr>
        <w:spacing w:line="440" w:lineRule="exact"/>
        <w:rPr>
          <w:rFonts w:hint="eastAsia" w:ascii="方正仿宋_GB2312" w:hAnsi="方正仿宋_GB2312" w:eastAsia="方正仿宋_GB2312" w:cs="方正仿宋_GB2312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</w:t>
      </w:r>
      <w:r>
        <w:rPr>
          <w:color w:val="auto"/>
          <w:highlight w:val="none"/>
        </w:rPr>
        <w:fldChar w:fldCharType="begin"/>
      </w:r>
      <w:r>
        <w:rPr>
          <w:color w:val="auto"/>
          <w:highlight w:val="none"/>
        </w:rPr>
        <w:instrText xml:space="preserve"> HYPERLINK "mailto:quotation@shmtu.edu.cn" </w:instrText>
      </w:r>
      <w:r>
        <w:rPr>
          <w:color w:val="auto"/>
          <w:highlight w:val="none"/>
        </w:rPr>
        <w:fldChar w:fldCharType="separate"/>
      </w:r>
      <w:r>
        <w:rPr>
          <w:rStyle w:val="18"/>
          <w:rFonts w:ascii="黑体" w:hAnsi="华文楷体" w:eastAsia="黑体"/>
          <w:b/>
          <w:color w:val="auto"/>
          <w:sz w:val="24"/>
          <w:highlight w:val="none"/>
        </w:rPr>
        <w:t>quotation@shmtu.edu.cn</w:t>
      </w:r>
      <w:r>
        <w:rPr>
          <w:rStyle w:val="18"/>
          <w:rFonts w:ascii="黑体" w:hAnsi="华文楷体" w:eastAsia="黑体"/>
          <w:b/>
          <w:color w:val="auto"/>
          <w:sz w:val="24"/>
          <w:highlight w:val="none"/>
        </w:rPr>
        <w:fldChar w:fldCharType="end"/>
      </w:r>
    </w:p>
    <w:p w14:paraId="0E4AC90F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公司名称：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                                               </w:t>
      </w:r>
      <w:r>
        <w:rPr>
          <w:rFonts w:hint="eastAsia" w:ascii="黑体" w:hAnsi="华文楷体" w:eastAsia="黑体"/>
          <w:b/>
          <w:color w:val="auto"/>
          <w:sz w:val="24"/>
          <w:highlight w:val="none"/>
        </w:rPr>
        <w:t>联系人：</w:t>
      </w:r>
    </w:p>
    <w:p w14:paraId="6610026A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                                                公司地址：</w:t>
      </w:r>
    </w:p>
    <w:p w14:paraId="0F397EAB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电话：                                                    联系人手机：</w:t>
      </w:r>
    </w:p>
    <w:p w14:paraId="184D96DB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tbl>
      <w:tblPr>
        <w:tblStyle w:val="14"/>
        <w:tblW w:w="4998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592"/>
        <w:gridCol w:w="4309"/>
        <w:gridCol w:w="1122"/>
        <w:gridCol w:w="1786"/>
        <w:gridCol w:w="1389"/>
        <w:gridCol w:w="594"/>
      </w:tblGrid>
      <w:tr w14:paraId="164CE4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" w:hRule="atLeast"/>
        </w:trPr>
        <w:tc>
          <w:tcPr>
            <w:tcW w:w="302" w:type="pct"/>
            <w:tcBorders>
              <w:top w:val="single" w:color="auto" w:sz="12" w:space="0"/>
              <w:left w:val="single" w:color="auto" w:sz="12" w:space="0"/>
              <w:bottom w:val="double" w:color="auto" w:sz="4" w:space="0"/>
            </w:tcBorders>
            <w:vAlign w:val="center"/>
          </w:tcPr>
          <w:p w14:paraId="2BBD17A6">
            <w:pPr>
              <w:tabs>
                <w:tab w:val="left" w:pos="7020"/>
              </w:tabs>
              <w:spacing w:line="480" w:lineRule="auto"/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序号</w:t>
            </w:r>
          </w:p>
        </w:tc>
        <w:tc>
          <w:tcPr>
            <w:tcW w:w="2200" w:type="pct"/>
            <w:tcBorders>
              <w:top w:val="single" w:color="auto" w:sz="12" w:space="0"/>
              <w:bottom w:val="double" w:color="auto" w:sz="4" w:space="0"/>
            </w:tcBorders>
            <w:vAlign w:val="center"/>
          </w:tcPr>
          <w:p w14:paraId="1041179F">
            <w:pPr>
              <w:tabs>
                <w:tab w:val="left" w:pos="7020"/>
              </w:tabs>
              <w:spacing w:line="480" w:lineRule="auto"/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项目名称</w:t>
            </w:r>
          </w:p>
        </w:tc>
        <w:tc>
          <w:tcPr>
            <w:tcW w:w="573" w:type="pct"/>
            <w:tcBorders>
              <w:top w:val="single" w:color="auto" w:sz="12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7C4573A6">
            <w:pPr>
              <w:tabs>
                <w:tab w:val="left" w:pos="7020"/>
              </w:tabs>
              <w:spacing w:line="480" w:lineRule="auto"/>
              <w:jc w:val="center"/>
              <w:rPr>
                <w:rFonts w:hint="default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预计人数</w:t>
            </w:r>
          </w:p>
        </w:tc>
        <w:tc>
          <w:tcPr>
            <w:tcW w:w="912" w:type="pct"/>
            <w:tcBorders>
              <w:top w:val="single" w:color="auto" w:sz="12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0B4BC45E">
            <w:pPr>
              <w:tabs>
                <w:tab w:val="left" w:pos="7020"/>
              </w:tabs>
              <w:spacing w:line="480" w:lineRule="auto"/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单价</w:t>
            </w:r>
          </w:p>
          <w:p w14:paraId="2ACE6AEB">
            <w:pPr>
              <w:tabs>
                <w:tab w:val="left" w:pos="7020"/>
              </w:tabs>
              <w:spacing w:line="480" w:lineRule="auto"/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（人/元）</w:t>
            </w:r>
          </w:p>
        </w:tc>
        <w:tc>
          <w:tcPr>
            <w:tcW w:w="709" w:type="pct"/>
            <w:tcBorders>
              <w:top w:val="single" w:color="auto" w:sz="12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41629E6A">
            <w:pPr>
              <w:tabs>
                <w:tab w:val="left" w:pos="7020"/>
              </w:tabs>
              <w:spacing w:line="480" w:lineRule="auto"/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小计</w:t>
            </w:r>
          </w:p>
          <w:p w14:paraId="2C33D9D9">
            <w:pPr>
              <w:tabs>
                <w:tab w:val="left" w:pos="7020"/>
              </w:tabs>
              <w:spacing w:line="480" w:lineRule="auto"/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（元）</w:t>
            </w:r>
          </w:p>
        </w:tc>
        <w:tc>
          <w:tcPr>
            <w:tcW w:w="302" w:type="pct"/>
            <w:tcBorders>
              <w:top w:val="single" w:color="auto" w:sz="12" w:space="0"/>
              <w:left w:val="single" w:color="auto" w:sz="4" w:space="0"/>
              <w:bottom w:val="double" w:color="auto" w:sz="4" w:space="0"/>
              <w:right w:val="single" w:color="auto" w:sz="12" w:space="0"/>
            </w:tcBorders>
            <w:vAlign w:val="center"/>
          </w:tcPr>
          <w:p w14:paraId="5C391E51">
            <w:pPr>
              <w:tabs>
                <w:tab w:val="left" w:pos="7020"/>
              </w:tabs>
              <w:spacing w:line="480" w:lineRule="auto"/>
              <w:jc w:val="center"/>
              <w:rPr>
                <w:rFonts w:hint="default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备注</w:t>
            </w:r>
          </w:p>
        </w:tc>
      </w:tr>
      <w:tr w14:paraId="09A6E8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" w:hRule="atLeast"/>
        </w:trPr>
        <w:tc>
          <w:tcPr>
            <w:tcW w:w="302" w:type="pct"/>
            <w:tcBorders>
              <w:top w:val="double" w:color="auto" w:sz="4" w:space="0"/>
              <w:left w:val="single" w:color="auto" w:sz="12" w:space="0"/>
              <w:bottom w:val="double" w:color="auto" w:sz="4" w:space="0"/>
            </w:tcBorders>
            <w:vAlign w:val="center"/>
          </w:tcPr>
          <w:p w14:paraId="1ED43816">
            <w:pPr>
              <w:tabs>
                <w:tab w:val="left" w:pos="7020"/>
              </w:tabs>
              <w:spacing w:line="480" w:lineRule="auto"/>
              <w:jc w:val="center"/>
              <w:rPr>
                <w:rFonts w:hint="eastAsia" w:ascii="黑体" w:hAnsi="黑体" w:eastAsia="黑体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2200" w:type="pct"/>
            <w:tcBorders>
              <w:top w:val="double" w:color="auto" w:sz="4" w:space="0"/>
              <w:bottom w:val="double" w:color="auto" w:sz="4" w:space="0"/>
            </w:tcBorders>
            <w:vAlign w:val="center"/>
          </w:tcPr>
          <w:p w14:paraId="4E78542C">
            <w:pPr>
              <w:tabs>
                <w:tab w:val="left" w:pos="7020"/>
              </w:tabs>
              <w:spacing w:line="480" w:lineRule="auto"/>
              <w:jc w:val="center"/>
              <w:rPr>
                <w:rFonts w:hint="eastAsia" w:ascii="黑体" w:hAnsi="黑体" w:eastAsia="黑体" w:cs="Times New Roman"/>
                <w:b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szCs w:val="24"/>
                <w:highlight w:val="none"/>
                <w:lang w:eastAsia="zh-CN"/>
              </w:rPr>
              <w:t>危险化学品从业人员安全培训及考证</w:t>
            </w:r>
          </w:p>
        </w:tc>
        <w:tc>
          <w:tcPr>
            <w:tcW w:w="573" w:type="pct"/>
            <w:tcBorders>
              <w:top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7941EDF4">
            <w:pPr>
              <w:tabs>
                <w:tab w:val="left" w:pos="7020"/>
              </w:tabs>
              <w:spacing w:line="480" w:lineRule="auto"/>
              <w:jc w:val="center"/>
              <w:rPr>
                <w:rFonts w:hint="default" w:ascii="黑体" w:hAnsi="黑体" w:eastAsia="黑体"/>
                <w:b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120</w:t>
            </w:r>
          </w:p>
        </w:tc>
        <w:tc>
          <w:tcPr>
            <w:tcW w:w="912" w:type="pct"/>
            <w:tcBorders>
              <w:top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02C5FEF4">
            <w:pPr>
              <w:tabs>
                <w:tab w:val="left" w:pos="7020"/>
              </w:tabs>
              <w:spacing w:line="480" w:lineRule="auto"/>
              <w:jc w:val="center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09" w:type="pct"/>
            <w:tcBorders>
              <w:top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7EED2A00">
            <w:pPr>
              <w:tabs>
                <w:tab w:val="left" w:pos="7020"/>
              </w:tabs>
              <w:spacing w:line="480" w:lineRule="auto"/>
              <w:jc w:val="center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02" w:type="pct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single" w:color="auto" w:sz="12" w:space="0"/>
            </w:tcBorders>
            <w:vAlign w:val="center"/>
          </w:tcPr>
          <w:p w14:paraId="71529EE7">
            <w:pPr>
              <w:tabs>
                <w:tab w:val="left" w:pos="7020"/>
              </w:tabs>
              <w:spacing w:line="480" w:lineRule="auto"/>
              <w:jc w:val="center"/>
              <w:rPr>
                <w:color w:val="auto"/>
                <w:sz w:val="24"/>
                <w:szCs w:val="24"/>
                <w:highlight w:val="none"/>
              </w:rPr>
            </w:pPr>
          </w:p>
        </w:tc>
      </w:tr>
      <w:tr w14:paraId="07BA77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" w:hRule="atLeast"/>
        </w:trPr>
        <w:tc>
          <w:tcPr>
            <w:tcW w:w="302" w:type="pct"/>
            <w:tcBorders>
              <w:top w:val="double" w:color="auto" w:sz="4" w:space="0"/>
              <w:left w:val="single" w:color="auto" w:sz="12" w:space="0"/>
              <w:bottom w:val="double" w:color="auto" w:sz="4" w:space="0"/>
            </w:tcBorders>
            <w:vAlign w:val="center"/>
          </w:tcPr>
          <w:p w14:paraId="2DE4A4BF">
            <w:pPr>
              <w:tabs>
                <w:tab w:val="left" w:pos="7020"/>
              </w:tabs>
              <w:spacing w:line="480" w:lineRule="auto"/>
              <w:jc w:val="center"/>
              <w:rPr>
                <w:rFonts w:hint="eastAsia" w:ascii="黑体" w:hAnsi="黑体" w:eastAsia="黑体"/>
                <w:b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2200" w:type="pct"/>
            <w:tcBorders>
              <w:top w:val="double" w:color="auto" w:sz="4" w:space="0"/>
              <w:bottom w:val="double" w:color="auto" w:sz="4" w:space="0"/>
            </w:tcBorders>
            <w:vAlign w:val="center"/>
          </w:tcPr>
          <w:p w14:paraId="177905D0">
            <w:pPr>
              <w:tabs>
                <w:tab w:val="left" w:pos="7020"/>
              </w:tabs>
              <w:spacing w:line="480" w:lineRule="auto"/>
              <w:jc w:val="center"/>
              <w:rPr>
                <w:rFonts w:hint="eastAsia" w:ascii="黑体" w:hAnsi="黑体" w:eastAsia="黑体"/>
                <w:b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szCs w:val="24"/>
                <w:highlight w:val="none"/>
                <w:lang w:eastAsia="zh-CN"/>
              </w:rPr>
              <w:t>易制毒化学品专业知识培训及考证</w:t>
            </w:r>
          </w:p>
        </w:tc>
        <w:tc>
          <w:tcPr>
            <w:tcW w:w="573" w:type="pct"/>
            <w:tcBorders>
              <w:top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4839517E">
            <w:pPr>
              <w:tabs>
                <w:tab w:val="left" w:pos="7020"/>
              </w:tabs>
              <w:spacing w:line="480" w:lineRule="auto"/>
              <w:jc w:val="center"/>
              <w:rPr>
                <w:rFonts w:hint="default" w:ascii="黑体" w:hAnsi="黑体" w:eastAsia="黑体"/>
                <w:b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90</w:t>
            </w:r>
          </w:p>
        </w:tc>
        <w:tc>
          <w:tcPr>
            <w:tcW w:w="912" w:type="pct"/>
            <w:tcBorders>
              <w:top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3E6EA960">
            <w:pPr>
              <w:tabs>
                <w:tab w:val="left" w:pos="7020"/>
              </w:tabs>
              <w:spacing w:line="480" w:lineRule="auto"/>
              <w:jc w:val="center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09" w:type="pct"/>
            <w:tcBorders>
              <w:top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5FCDA666">
            <w:pPr>
              <w:tabs>
                <w:tab w:val="left" w:pos="7020"/>
              </w:tabs>
              <w:spacing w:line="480" w:lineRule="auto"/>
              <w:jc w:val="center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02" w:type="pct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single" w:color="auto" w:sz="12" w:space="0"/>
            </w:tcBorders>
            <w:vAlign w:val="center"/>
          </w:tcPr>
          <w:p w14:paraId="50587092">
            <w:pPr>
              <w:tabs>
                <w:tab w:val="left" w:pos="7020"/>
              </w:tabs>
              <w:spacing w:line="480" w:lineRule="auto"/>
              <w:jc w:val="center"/>
              <w:rPr>
                <w:rFonts w:hint="eastAsia" w:ascii="黑体" w:hAnsi="黑体" w:eastAsia="黑体"/>
                <w:b/>
                <w:color w:val="auto"/>
                <w:sz w:val="24"/>
                <w:szCs w:val="24"/>
                <w:highlight w:val="none"/>
              </w:rPr>
            </w:pPr>
          </w:p>
        </w:tc>
      </w:tr>
      <w:tr w14:paraId="77FEC6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" w:hRule="atLeast"/>
        </w:trPr>
        <w:tc>
          <w:tcPr>
            <w:tcW w:w="2502" w:type="pct"/>
            <w:gridSpan w:val="2"/>
            <w:tcBorders>
              <w:top w:val="doub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6322DB60">
            <w:pPr>
              <w:tabs>
                <w:tab w:val="left" w:pos="7020"/>
              </w:tabs>
              <w:spacing w:line="480" w:lineRule="auto"/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合计金额（人民币）</w:t>
            </w:r>
          </w:p>
        </w:tc>
        <w:tc>
          <w:tcPr>
            <w:tcW w:w="573" w:type="pct"/>
            <w:tcBorders>
              <w:top w:val="doub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27ED3EC0">
            <w:pPr>
              <w:tabs>
                <w:tab w:val="left" w:pos="7020"/>
              </w:tabs>
              <w:spacing w:line="480" w:lineRule="auto"/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</w:p>
        </w:tc>
        <w:tc>
          <w:tcPr>
            <w:tcW w:w="1924" w:type="pct"/>
            <w:gridSpan w:val="3"/>
            <w:tcBorders>
              <w:top w:val="doub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4B46D8FA">
            <w:pPr>
              <w:tabs>
                <w:tab w:val="left" w:pos="7020"/>
              </w:tabs>
              <w:spacing w:line="480" w:lineRule="auto"/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￥           （大写）：</w:t>
            </w:r>
          </w:p>
        </w:tc>
      </w:tr>
    </w:tbl>
    <w:p w14:paraId="0408D135">
      <w:pPr>
        <w:spacing w:line="440" w:lineRule="exact"/>
        <w:rPr>
          <w:rFonts w:hint="eastAsia" w:ascii="黑体" w:hAnsi="华文楷体" w:eastAsia="黑体"/>
          <w:color w:val="auto"/>
          <w:sz w:val="24"/>
          <w:highlight w:val="none"/>
        </w:rPr>
      </w:pPr>
    </w:p>
    <w:p w14:paraId="614EA236">
      <w:pPr>
        <w:spacing w:line="440" w:lineRule="exact"/>
        <w:rPr>
          <w:rFonts w:hint="eastAsia" w:ascii="黑体" w:hAnsi="华文楷体" w:eastAsia="黑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color w:val="auto"/>
          <w:sz w:val="24"/>
          <w:highlight w:val="none"/>
        </w:rPr>
        <w:t>公司名称（盖章）：           委托代理人（签字）：        报价日期：      年    月   日</w:t>
      </w:r>
    </w:p>
    <w:p w14:paraId="20B1E828">
      <w:pPr>
        <w:spacing w:line="440" w:lineRule="exact"/>
        <w:rPr>
          <w:rFonts w:hint="eastAsia" w:ascii="黑体" w:hAnsi="华文楷体" w:eastAsia="黑体"/>
          <w:color w:val="auto"/>
          <w:sz w:val="24"/>
          <w:highlight w:val="none"/>
        </w:rPr>
      </w:pPr>
    </w:p>
    <w:p w14:paraId="642407A4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>报价说明：1、报价公司提供的上述产品，应完全满足或者优于我校提出的需求。</w:t>
      </w:r>
    </w:p>
    <w:p w14:paraId="554618DC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2、如属非标配产品，其技术指标（特别是优于我校需求的部分）请另行附页说明。</w:t>
      </w:r>
    </w:p>
    <w:p w14:paraId="7D349A8B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3、特殊的售后服务措施、代理证明情况等需要说明的，请另行附页说明。</w:t>
      </w:r>
    </w:p>
    <w:p w14:paraId="6619B28A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4、报价单附页（如有）共</w:t>
      </w:r>
      <w:r>
        <w:rPr>
          <w:rFonts w:hint="eastAsia" w:ascii="黑体" w:hAnsi="华文楷体" w:eastAsia="黑体"/>
          <w:color w:val="auto"/>
          <w:szCs w:val="21"/>
          <w:highlight w:val="none"/>
          <w:u w:val="single"/>
        </w:rPr>
        <w:t xml:space="preserve">      </w:t>
      </w:r>
      <w:r>
        <w:rPr>
          <w:rFonts w:hint="eastAsia" w:ascii="黑体" w:hAnsi="华文楷体" w:eastAsia="黑体"/>
          <w:color w:val="auto"/>
          <w:szCs w:val="21"/>
          <w:highlight w:val="none"/>
        </w:rPr>
        <w:t>页。</w:t>
      </w:r>
    </w:p>
    <w:p w14:paraId="02E355A4">
      <w:pP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  <w:br w:type="page"/>
      </w:r>
    </w:p>
    <w:p w14:paraId="66593191">
      <w:pPr>
        <w:spacing w:after="157" w:afterLines="50"/>
        <w:jc w:val="center"/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  <w:t>报价承诺函</w:t>
      </w:r>
    </w:p>
    <w:p w14:paraId="06CF8257">
      <w:pPr>
        <w:spacing w:after="157" w:afterLines="5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致：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上海海事大学</w:t>
      </w:r>
    </w:p>
    <w:p w14:paraId="61C7F4FB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我</w:t>
      </w:r>
      <w:r>
        <w:rPr>
          <w:rFonts w:ascii="仿宋" w:hAnsi="仿宋" w:eastAsia="仿宋" w:cs="宋体"/>
          <w:color w:val="auto"/>
          <w:sz w:val="24"/>
          <w:highlight w:val="none"/>
          <w:lang w:val="zh-CN"/>
        </w:rPr>
        <w:t>公司在参加本次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比选采购</w:t>
      </w:r>
      <w:r>
        <w:rPr>
          <w:rFonts w:ascii="仿宋" w:hAnsi="仿宋" w:eastAsia="仿宋" w:cs="宋体"/>
          <w:color w:val="auto"/>
          <w:sz w:val="24"/>
          <w:highlight w:val="none"/>
          <w:lang w:val="zh-CN"/>
        </w:rPr>
        <w:t>活动中，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做出如下</w:t>
      </w:r>
      <w:r>
        <w:rPr>
          <w:rFonts w:ascii="仿宋" w:hAnsi="仿宋" w:eastAsia="仿宋" w:cs="宋体"/>
          <w:color w:val="auto"/>
          <w:sz w:val="24"/>
          <w:highlight w:val="none"/>
          <w:lang w:val="zh-CN"/>
        </w:rPr>
        <w:t>承诺：</w:t>
      </w:r>
    </w:p>
    <w:p w14:paraId="4F0E35EC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一、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具备独立法人资格，能够独立承担民事责任。</w:t>
      </w:r>
    </w:p>
    <w:p w14:paraId="6F37786C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二、我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财务状况良好，具备履行合同所需资金实力。</w:t>
      </w:r>
    </w:p>
    <w:p w14:paraId="3E13B155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三、我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拥有履行项目所需的专业技术人员和先进的生产设备。</w:t>
      </w:r>
    </w:p>
    <w:p w14:paraId="1486EB83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四、我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依法纳税，并按时缴纳社会保险费。</w:t>
      </w:r>
    </w:p>
    <w:p w14:paraId="1705CE12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五、我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在最近三年内无任何违法违规行为，信誉良好。</w:t>
      </w:r>
    </w:p>
    <w:p w14:paraId="54BF34F8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六、我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完全符合政府采购法及其他相关法律法规的规定。</w:t>
      </w:r>
    </w:p>
    <w:p w14:paraId="46600348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七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、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公司提供的相关文件均真实、有效。</w:t>
      </w:r>
    </w:p>
    <w:p w14:paraId="6C6ABE4A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八、我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公司未挂靠、借用资质进行投标等违法违规行为。</w:t>
      </w:r>
    </w:p>
    <w:p w14:paraId="5613149E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九、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我公司承诺在参加本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次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采购活动中，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不存在串标围标行为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，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不存在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损害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校方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或者其他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报价单位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利益的行为。</w:t>
      </w:r>
    </w:p>
    <w:p w14:paraId="350AD56E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十、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我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公司管理层中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没有从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贵校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离职或退休3年以内的人员担任控股股东或实际控股人、董事、监事，也没有聘用从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贵校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离职或退休3年以内的人员。</w:t>
      </w:r>
    </w:p>
    <w:p w14:paraId="7BAAA33E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我公司保证上述声明真实无误，如有不实，愿承担相应法律责任。</w:t>
      </w:r>
    </w:p>
    <w:p w14:paraId="5C4569E6">
      <w:pPr>
        <w:spacing w:after="157" w:afterLines="5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</w:p>
    <w:p w14:paraId="6DFC7771">
      <w:pPr>
        <w:spacing w:after="157" w:afterLines="50"/>
        <w:rPr>
          <w:rFonts w:hint="eastAsia" w:ascii="黑体" w:hAnsi="华文楷体" w:eastAsia="黑体"/>
          <w:b/>
          <w:bCs/>
          <w:color w:val="auto"/>
          <w:sz w:val="32"/>
          <w:szCs w:val="32"/>
          <w:highlight w:val="none"/>
        </w:rPr>
      </w:pPr>
      <w:r>
        <w:rPr>
          <w:rFonts w:hint="eastAsia" w:ascii="黑体" w:hAnsi="华文楷体" w:eastAsia="黑体"/>
          <w:color w:val="auto"/>
          <w:sz w:val="24"/>
          <w:highlight w:val="none"/>
        </w:rPr>
        <w:t>公司名称（盖章）：                              委托代理人（签字）：</w:t>
      </w:r>
    </w:p>
    <w:p w14:paraId="097F108E">
      <w:pPr>
        <w:pStyle w:val="5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</w:p>
    <w:p w14:paraId="6AAADDA4">
      <w:pPr>
        <w:pStyle w:val="5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</w:p>
    <w:p w14:paraId="3805D66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sectPr>
          <w:pgSz w:w="11906" w:h="16838"/>
          <w:pgMar w:top="1440" w:right="1083" w:bottom="1440" w:left="1083" w:header="851" w:footer="992" w:gutter="0"/>
          <w:cols w:space="0" w:num="1"/>
          <w:docGrid w:type="lines" w:linePitch="314" w:charSpace="0"/>
        </w:sectPr>
      </w:pPr>
    </w:p>
    <w:p w14:paraId="52FF6152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附件2：其他材料</w:t>
      </w:r>
    </w:p>
    <w:p w14:paraId="2A456533">
      <w:pPr>
        <w:pStyle w:val="4"/>
        <w:ind w:left="0" w:leftChars="0"/>
        <w:rPr>
          <w:color w:val="auto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包括但不限于：</w:t>
      </w:r>
    </w:p>
    <w:p w14:paraId="43482A45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1、营业执照扫描件</w:t>
      </w:r>
    </w:p>
    <w:p w14:paraId="428A839D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、项目服务方案（产品介绍）及实施计划</w:t>
      </w:r>
    </w:p>
    <w:p w14:paraId="56E8031D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3、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服务团队介绍</w:t>
      </w:r>
    </w:p>
    <w:p w14:paraId="1DCC4AA6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4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、服务保障承诺</w:t>
      </w:r>
    </w:p>
    <w:p w14:paraId="41589759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5</w:t>
      </w: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业绩案例</w:t>
      </w:r>
    </w:p>
    <w:p w14:paraId="7EB31163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6、其他所必需的相关材料</w:t>
      </w:r>
    </w:p>
    <w:sectPr>
      <w:pgSz w:w="11906" w:h="16838"/>
      <w:pgMar w:top="1440" w:right="1083" w:bottom="1440" w:left="1083" w:header="851" w:footer="992" w:gutter="0"/>
      <w:cols w:space="0" w:num="1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100DB6B-C9D2-46B2-B27B-D776C1DAE59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D980C7A4-D2DE-4887-895B-D22BC7D6AB91}"/>
  </w:font>
  <w:font w:name="方正兰亭黑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509E1836-29FB-4F2F-B0FC-C8192101039E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4" w:fontKey="{B4C1EAA3-1875-471D-8279-47978E9AC04E}"/>
  </w:font>
  <w:font w:name="华文楷体">
    <w:panose1 w:val="02010600040101010101"/>
    <w:charset w:val="86"/>
    <w:family w:val="auto"/>
    <w:pitch w:val="default"/>
    <w:sig w:usb0="A00002BF" w:usb1="78CF7CFB" w:usb2="00000016" w:usb3="00000000" w:csb0="6006009F" w:csb1="DFD70000"/>
    <w:embedRegular r:id="rId5" w:fontKey="{954CA7C5-BDB5-4553-B5B1-6475AD5AC28C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6" w:fontKey="{697E48EE-ADE2-490A-B669-FCCC9C2D074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C6DE97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59155" cy="147955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915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C75E4AA">
                          <w:pPr>
                            <w:pStyle w:val="7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1.65pt;width:67.6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FS000NMAAAAEAQAADwAAAAAAAAABACAAAAAiAAAAZHJzL2Rvd25yZXYueG1sUEsBAhQA&#10;FAAAAAgAh07iQLIjnDUwAgAAUwQAAA4AAAAAAAAAAQAgAAAAIg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75E4AA">
                    <w:pPr>
                      <w:pStyle w:val="7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8D2EBEB"/>
    <w:multiLevelType w:val="singleLevel"/>
    <w:tmpl w:val="E8D2EBE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7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4CA3"/>
    <w:rsid w:val="000E4CA3"/>
    <w:rsid w:val="001B052D"/>
    <w:rsid w:val="001B1952"/>
    <w:rsid w:val="00283B3F"/>
    <w:rsid w:val="00325073"/>
    <w:rsid w:val="00572733"/>
    <w:rsid w:val="00595CBB"/>
    <w:rsid w:val="006030E1"/>
    <w:rsid w:val="007F3014"/>
    <w:rsid w:val="00836506"/>
    <w:rsid w:val="00C97D62"/>
    <w:rsid w:val="00DB0393"/>
    <w:rsid w:val="00DC509B"/>
    <w:rsid w:val="00E754B4"/>
    <w:rsid w:val="00F2174E"/>
    <w:rsid w:val="02675436"/>
    <w:rsid w:val="029C08D4"/>
    <w:rsid w:val="07E200CA"/>
    <w:rsid w:val="08B545A5"/>
    <w:rsid w:val="092F2754"/>
    <w:rsid w:val="13353790"/>
    <w:rsid w:val="157E6317"/>
    <w:rsid w:val="19F06820"/>
    <w:rsid w:val="1E596D71"/>
    <w:rsid w:val="24050543"/>
    <w:rsid w:val="269F2B16"/>
    <w:rsid w:val="2ECF1521"/>
    <w:rsid w:val="2FB07FD7"/>
    <w:rsid w:val="331671BF"/>
    <w:rsid w:val="33B3033B"/>
    <w:rsid w:val="35906085"/>
    <w:rsid w:val="3A9852E0"/>
    <w:rsid w:val="3D6469F5"/>
    <w:rsid w:val="3FCC680A"/>
    <w:rsid w:val="3FDF48A5"/>
    <w:rsid w:val="40115E5B"/>
    <w:rsid w:val="40134FEB"/>
    <w:rsid w:val="41007DAA"/>
    <w:rsid w:val="438704B0"/>
    <w:rsid w:val="480A63EB"/>
    <w:rsid w:val="487158D1"/>
    <w:rsid w:val="488E3B06"/>
    <w:rsid w:val="48F25244"/>
    <w:rsid w:val="4CCA439B"/>
    <w:rsid w:val="4EFD134C"/>
    <w:rsid w:val="543D6D6A"/>
    <w:rsid w:val="58C4549A"/>
    <w:rsid w:val="5AEA704B"/>
    <w:rsid w:val="5C376D46"/>
    <w:rsid w:val="5DF2219B"/>
    <w:rsid w:val="5E8720EC"/>
    <w:rsid w:val="5EE9209B"/>
    <w:rsid w:val="5F44384A"/>
    <w:rsid w:val="60BF2A71"/>
    <w:rsid w:val="66E533C4"/>
    <w:rsid w:val="681A51E0"/>
    <w:rsid w:val="695E3370"/>
    <w:rsid w:val="699D5EE7"/>
    <w:rsid w:val="6B99520C"/>
    <w:rsid w:val="7CFA5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99"/>
    <w:pPr>
      <w:jc w:val="left"/>
    </w:pPr>
    <w:rPr>
      <w:kern w:val="0"/>
      <w:sz w:val="20"/>
      <w:szCs w:val="20"/>
    </w:r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4">
    <w:name w:val="Body Text Indent"/>
    <w:basedOn w:val="1"/>
    <w:qFormat/>
    <w:uiPriority w:val="0"/>
    <w:pPr>
      <w:ind w:left="420" w:leftChars="200"/>
    </w:pPr>
  </w:style>
  <w:style w:type="paragraph" w:styleId="5">
    <w:name w:val="Plain Text"/>
    <w:basedOn w:val="1"/>
    <w:qFormat/>
    <w:uiPriority w:val="0"/>
    <w:rPr>
      <w:rFonts w:ascii="宋体" w:hAnsi="Courier New"/>
    </w:rPr>
  </w:style>
  <w:style w:type="paragraph" w:styleId="6">
    <w:name w:val="Body Text Indent 2"/>
    <w:basedOn w:val="1"/>
    <w:unhideWhenUsed/>
    <w:qFormat/>
    <w:uiPriority w:val="0"/>
    <w:pPr>
      <w:ind w:firstLine="540"/>
    </w:pPr>
    <w:rPr>
      <w:rFonts w:ascii="Calibri" w:hAnsi="Calibri"/>
      <w:sz w:val="28"/>
      <w:szCs w:val="20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toc 1"/>
    <w:basedOn w:val="1"/>
    <w:next w:val="1"/>
    <w:unhideWhenUsed/>
    <w:qFormat/>
    <w:uiPriority w:val="39"/>
    <w:rPr>
      <w:rFonts w:ascii="Calibri" w:hAnsi="Calibri" w:eastAsia="宋体" w:cs="Times New Roman"/>
    </w:rPr>
  </w:style>
  <w:style w:type="paragraph" w:styleId="10">
    <w:name w:val="Body Text Indent 3"/>
    <w:basedOn w:val="1"/>
    <w:qFormat/>
    <w:uiPriority w:val="0"/>
    <w:pPr>
      <w:ind w:firstLine="600" w:firstLineChars="200"/>
    </w:pPr>
    <w:rPr>
      <w:color w:val="FF0000"/>
      <w:sz w:val="30"/>
      <w:szCs w:val="20"/>
    </w:rPr>
  </w:style>
  <w:style w:type="paragraph" w:styleId="11">
    <w:name w:val="Body Text 2"/>
    <w:basedOn w:val="1"/>
    <w:qFormat/>
    <w:uiPriority w:val="0"/>
    <w:pPr>
      <w:spacing w:after="120" w:line="480" w:lineRule="auto"/>
    </w:pPr>
  </w:style>
  <w:style w:type="paragraph" w:styleId="1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3">
    <w:name w:val="Body Text First Indent"/>
    <w:basedOn w:val="3"/>
    <w:qFormat/>
    <w:uiPriority w:val="0"/>
    <w:pPr>
      <w:widowControl/>
      <w:ind w:firstLine="420" w:firstLineChars="100"/>
      <w:jc w:val="left"/>
    </w:pPr>
    <w:rPr>
      <w:rFonts w:ascii="Times New Roman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qFormat/>
    <w:uiPriority w:val="22"/>
    <w:rPr>
      <w:b/>
      <w:bCs/>
    </w:rPr>
  </w:style>
  <w:style w:type="character" w:styleId="18">
    <w:name w:val="Hyperlink"/>
    <w:basedOn w:val="16"/>
    <w:unhideWhenUsed/>
    <w:qFormat/>
    <w:uiPriority w:val="99"/>
    <w:rPr>
      <w:color w:val="0000FF"/>
      <w:u w:val="single"/>
    </w:rPr>
  </w:style>
  <w:style w:type="paragraph" w:customStyle="1" w:styleId="19">
    <w:name w:val="列表段落1"/>
    <w:basedOn w:val="1"/>
    <w:qFormat/>
    <w:uiPriority w:val="0"/>
    <w:pPr>
      <w:ind w:firstLine="420" w:firstLineChars="200"/>
    </w:pPr>
  </w:style>
  <w:style w:type="paragraph" w:customStyle="1" w:styleId="20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" w:hAnsi="Times New Roman" w:eastAsia="楷体" w:cs="楷体"/>
      <w:color w:val="000000"/>
      <w:sz w:val="24"/>
      <w:szCs w:val="24"/>
      <w:lang w:val="en-US" w:eastAsia="zh-CN" w:bidi="ar-SA"/>
    </w:rPr>
  </w:style>
  <w:style w:type="character" w:customStyle="1" w:styleId="21">
    <w:name w:val="15"/>
    <w:basedOn w:val="16"/>
    <w:qFormat/>
    <w:uiPriority w:val="0"/>
    <w:rPr>
      <w:rFonts w:hint="default" w:ascii="Calibri" w:hAnsi="Calibri" w:cs="Calibri"/>
      <w:b/>
      <w:bCs/>
    </w:rPr>
  </w:style>
  <w:style w:type="paragraph" w:styleId="22">
    <w:name w:val="List Paragraph"/>
    <w:basedOn w:val="1"/>
    <w:qFormat/>
    <w:uiPriority w:val="34"/>
    <w:pPr>
      <w:ind w:left="720"/>
      <w:contextualSpacing/>
    </w:pPr>
  </w:style>
  <w:style w:type="table" w:customStyle="1" w:styleId="23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4">
    <w:name w:val="表格正文内容"/>
    <w:basedOn w:val="1"/>
    <w:next w:val="1"/>
    <w:autoRedefine/>
    <w:qFormat/>
    <w:uiPriority w:val="0"/>
    <w:pPr>
      <w:widowControl/>
      <w:spacing w:line="360" w:lineRule="exact"/>
      <w:jc w:val="left"/>
    </w:pPr>
    <w:rPr>
      <w:rFonts w:ascii="楷体_GB2312" w:hAnsi="方正小标宋简体" w:eastAsia="仿宋_GB2312" w:cs="仿宋"/>
      <w:sz w:val="2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bdb813f0-032e-4f79-9d58-60f2c3d838ea</errorID>
      <errorWord>第二章节</errorWord>
      <group>L1_AI</group>
      <groupName>深度校对</groupName>
      <ability>L2_AI_Word</ability>
      <abilityName>字词纠错</abilityName>
      <candidateList>
        <item>第二章 </item>
      </candidateList>
      <explain/>
      <paraID>290FE171</paraID>
      <start>142</start>
      <end>146</end>
      <status>unmodified</status>
      <modifiedWord/>
      <trackRevisions>false</trackRevisions>
    </reviewItem>
    <reviewItem>
      <errorID>5b92c863-a929-461d-b90a-05359f92c6bc</errorID>
      <errorWord>。</errorWord>
      <group>L1_AI</group>
      <groupName>深度校对</groupName>
      <ability>L2_AI_Punc</ability>
      <abilityName>标点纠错</abilityName>
      <candidateList>
        <item/>
      </candidateList>
      <explain/>
      <paraID>290FE171</paraID>
      <start>151</start>
      <end>151</end>
      <status>modified</status>
      <modifiedWord/>
      <trackRevisions>false</trackRevisions>
    </reviewItem>
    <reviewItem>
      <errorID>3fc90d6c-1ccb-4d44-84d1-efaacaf8a9ff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58FFC7E6</paraID>
      <start>0</start>
      <end>2</end>
      <status>unmodified</status>
      <modifiedWord/>
      <trackRevisions>false</trackRevisions>
    </reviewItem>
    <reviewItem>
      <errorID>d4bca0a3-1760-4c9a-9d21-c6852358c605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67A4B0EC</paraID>
      <start>0</start>
      <end>2</end>
      <status>unmodified</status>
      <modifiedWord/>
      <trackRevisions>false</trackRevisions>
    </reviewItem>
    <reviewItem>
      <errorID>5dc28943-8458-4381-a8db-57c2c31bc94a</errorID>
      <errorWord>和</errorWord>
      <group>L1_AI</group>
      <groupName>深度校对</groupName>
      <ability>L2_AI_Word</ability>
      <abilityName>字词纠错</abilityName>
      <candidateList>
        <item>以及</item>
      </candidateList>
      <explain/>
      <paraID>67A4B0EC</paraID>
      <start>63</start>
      <end>64</end>
      <status>unmodified</status>
      <modifiedWord/>
      <trackRevisions>false</trackRevisions>
    </reviewItem>
    <reviewItem>
      <errorID>f9a021fc-1d8d-46e3-b924-c3de2997e2e7</errorID>
      <errorWord>名单的供应商</errorWord>
      <group>L1_AI</group>
      <groupName>深度校对</groupName>
      <ability>L2_AI_Grammar</ability>
      <abilityName>语法纠错</abilityName>
      <candidateList>
        <item>名单</item>
      </candidateList>
      <explain/>
      <paraID>67A4B0EC</paraID>
      <start>100</start>
      <end>106</end>
      <status>unmodified</status>
      <modifiedWord/>
      <trackRevisions>false</trackRevisions>
    </reviewItem>
    <reviewItem>
      <errorID>744e4461-5502-4d2c-b454-262972ce62aa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34243CEE</paraID>
      <start>0</start>
      <end>2</end>
      <status>unmodified</status>
      <modifiedWord/>
      <trackRevisions>false</trackRevisions>
    </reviewItem>
    <reviewItem>
      <errorID>472ba0bf-65a5-4a9d-8505-cd035e6f558f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B8D63E6</paraID>
      <start>0</start>
      <end>2</end>
      <status>unmodified</status>
      <modifiedWord/>
      <trackRevisions>false</trackRevisions>
    </reviewItem>
    <reviewItem>
      <errorID>d931c917-103f-4f90-9a9b-3b2fd422f367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1AED6480</paraID>
      <start>0</start>
      <end>2</end>
      <status>unmodified</status>
      <modifiedWord/>
      <trackRevisions>false</trackRevisions>
    </reviewItem>
    <reviewItem>
      <errorID>8f3af309-f158-4079-b8ad-327c054d0ad5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5FCD37C7</paraID>
      <start>0</start>
      <end>2</end>
      <status>unmodified</status>
      <modifiedWord/>
      <trackRevisions>false</trackRevisions>
    </reviewItem>
    <reviewItem>
      <errorID>2d919f4e-5d6b-4dda-b7b4-5155a80aa1de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2D6773FC</paraID>
      <start>0</start>
      <end>2</end>
      <status>unmodified</status>
      <modifiedWord/>
      <trackRevisions>false</trackRevisions>
    </reviewItem>
    <reviewItem>
      <errorID>90b71e69-789b-43df-bc0d-1a350232a16b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1E43A622</paraID>
      <start>0</start>
      <end>2</end>
      <status>unmodified</status>
      <modifiedWord/>
      <trackRevisions>false</trackRevisions>
    </reviewItem>
    <reviewItem>
      <errorID>381b7942-627c-4c37-8efb-3ca0d2496340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6A53AA8F</paraID>
      <start>0</start>
      <end>2</end>
      <status>unmodified</status>
      <modifiedWord/>
      <trackRevisions>false</trackRevisions>
    </reviewItem>
    <reviewItem>
      <errorID>e8fc6a38-9f78-467a-8283-50fb50298d6a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5A6FBE99</paraID>
      <start>0</start>
      <end>2</end>
      <status>unmodified</status>
      <modifiedWord/>
      <trackRevisions>false</trackRevisions>
    </reviewItem>
    <reviewItem>
      <errorID>834a8365-e3f7-4437-bcd4-1e813ac04ea0</errorID>
      <errorWord>，</errorWord>
      <group>L1_AI</group>
      <groupName>深度校对</groupName>
      <ability>L2_AI_Punc</ability>
      <abilityName>标点纠错</abilityName>
      <candidateList>
        <item>、</item>
      </candidateList>
      <explain/>
      <paraID>2DA9D43D</paraID>
      <start>27</start>
      <end>28</end>
      <status>unmodified</status>
      <modifiedWord/>
      <trackRevisions>false</trackRevisions>
    </reviewItem>
    <reviewItem>
      <errorID>42444237-5ee6-4bd6-a18a-f85401429e10</errorID>
      <errorWord>原则</errorWord>
      <group>L1_AI</group>
      <groupName>深度校对</groupName>
      <ability>L2_AI_Word</ability>
      <abilityName>字词纠错</abilityName>
      <candidateList>
        <item>的原则</item>
      </candidateList>
      <explain/>
      <paraID>2DA9D43D</paraID>
      <start>42</start>
      <end>44</end>
      <status>unmodified</status>
      <modifiedWord/>
      <trackRevisions>false</trackRevisions>
    </reviewItem>
    <reviewItem>
      <errorID>d6f7083f-f914-4379-814f-5dc722a14b30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673FFF60</paraID>
      <start>0</start>
      <end>2</end>
      <status>unmodified</status>
      <modifiedWord/>
      <trackRevisions>false</trackRevisions>
    </reviewItem>
    <reviewItem>
      <errorID>2a27e2d7-fe66-446c-a837-015d5c7eb85a</errorID>
      <errorWord>以上的</errorWord>
      <group>L1_AI</group>
      <groupName>深度校对</groupName>
      <ability>L2_AI_Word</ability>
      <abilityName>字词纠错</abilityName>
      <candidateList>
        <item>以上</item>
      </candidateList>
      <explain/>
      <paraID>1D34F033</paraID>
      <start>32</start>
      <end>35</end>
      <status>unmodified</status>
      <modifiedWord/>
      <trackRevisions>false</trackRevisions>
    </reviewItem>
    <reviewItem>
      <errorID>3673b1ed-946d-4965-88eb-06df01fc8254</errorID>
      <errorWord>（合同签订日期</errorWord>
      <group>L1_AI</group>
      <groupName>深度校对</groupName>
      <ability>L2_AI_Grammar</ability>
      <abilityName>语法纠错</abilityName>
      <candidateList>
        <item>（</item>
      </candidateList>
      <explain/>
      <paraID>74E23610</paraID>
      <start>5</start>
      <end>12</end>
      <status>unmodified</status>
      <modifiedWord/>
      <trackRevisions>false</trackRevisions>
    </reviewItem>
    <reviewItem>
      <errorID>2048999c-45d1-4db7-b51e-2da113c01324</errorID>
      <errorWord>业绩</errorWord>
      <group>L1_AI</group>
      <groupName>深度校对</groupName>
      <ability>L2_AI_Word</ability>
      <abilityName>字词纠错</abilityName>
      <candidateList>
        <item>的业绩</item>
      </candidateList>
      <explain/>
      <paraID>74E23610</paraID>
      <start>26</start>
      <end>28</end>
      <status>unmodified</status>
      <modifiedWord/>
      <trackRevisions>false</trackRevisions>
    </reviewItem>
    <reviewItem>
      <errorID>956faf36-221d-4a4c-9799-eb9ed2aa2a22</errorID>
      <errorWord>可控的</errorWord>
      <group>L1_AI</group>
      <groupName>深度校对</groupName>
      <ability>L2_AI_Word</ability>
      <abilityName>字词纠错</abilityName>
      <candidateList>
        <item>可控</item>
      </candidateList>
      <explain/>
      <paraID>3EC9A561</paraID>
      <start>36</start>
      <end>39</end>
      <status>unmodified</status>
      <modifiedWord/>
      <trackRevisions>false</trackRevisions>
    </reviewItem>
    <reviewItem>
      <errorID>ac594161-f1ab-449a-9fed-f74b4ba60719</errorID>
      <errorWord>低的</errorWord>
      <group>L1_AI</group>
      <groupName>深度校对</groupName>
      <ability>L2_AI_Word</ability>
      <abilityName>字词纠错</abilityName>
      <candidateList>
        <item>低</item>
      </candidateList>
      <explain/>
      <paraID>58DA62C3</paraID>
      <start>26</start>
      <end>28</end>
      <status>unmodified</status>
      <modifiedWord/>
      <trackRevisions>false</trackRevisions>
    </reviewItem>
    <reviewItem>
      <errorID>066139f9-feb0-48b1-ad7c-04f1cc4cbeb1</errorID>
      <errorWord>等</errorWord>
      <group>L1_AI</group>
      <groupName>深度校对</groupName>
      <ability>L2_AI_Word</ability>
      <abilityName>字词纠错</abilityName>
      <candidateList>
        <item>的</item>
      </candidateList>
      <explain/>
      <paraID>57D0EDAC</paraID>
      <start>14</start>
      <end>15</end>
      <status>unmodified</status>
      <modifiedWord/>
      <trackRevisions>false</trackRevisions>
    </reviewItem>
    <reviewItem>
      <errorID>c12d6637-c1c8-4d2e-b6f0-df435d2bef13</errorID>
      <errorWord>等</errorWord>
      <group>L1_AI</group>
      <groupName>深度校对</groupName>
      <ability>L2_AI_Word</ability>
      <abilityName>字词纠错</abilityName>
      <candidateList>
        <item>的</item>
      </candidateList>
      <explain/>
      <paraID> 53ACC0F</paraID>
      <start>13</start>
      <end>14</end>
      <status>unmodified</status>
      <modifiedWord/>
      <trackRevisions>false</trackRevisions>
    </reviewItem>
    <reviewItem>
      <errorID>31f54f15-e299-4e75-a944-8d0e185a5dd4</errorID>
      <errorWord>未</errorWord>
      <group>L1_AI</group>
      <groupName>深度校对</groupName>
      <ability>L2_AI_Grammar</ability>
      <abilityName>语法纠错</abilityName>
      <candidateList>
        <item>不存在</item>
      </candidateList>
      <explain/>
      <paraID>6C6ABE4A</paraID>
      <start>5</start>
      <end>6</end>
      <status>unmodified</status>
      <modifiedWord/>
      <trackRevisions>false</trackRevisions>
    </reviewItem>
    <reviewItem>
      <errorID>84c0698e-adef-4d53-95ce-7d11adfb9f7e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43482A45</paraID>
      <start>0</start>
      <end>2</end>
      <status>unmodified</status>
      <modifiedWord/>
      <trackRevisions>false</trackRevisions>
    </reviewItem>
    <reviewItem>
      <errorID>ae5c34ba-8ca1-410c-a9e2-6abd9517591c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428A839D</paraID>
      <start>0</start>
      <end>2</end>
      <status>unmodified</status>
      <modifiedWord/>
      <trackRevisions>false</trackRevisions>
    </reviewItem>
    <reviewItem>
      <errorID>743e0cdf-9c85-49c3-8945-307ab8466905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56E8031D</paraID>
      <start>0</start>
      <end>2</end>
      <status>unmodified</status>
      <modifiedWord/>
      <trackRevisions>false</trackRevisions>
    </reviewItem>
    <reviewItem>
      <errorID>ea05b505-2bff-41fd-84c3-84952d7060cd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1DCC4AA6</paraID>
      <start>0</start>
      <end>2</end>
      <status>unmodified</status>
      <modifiedWord/>
      <trackRevisions>false</trackRevisions>
    </reviewItem>
    <reviewItem>
      <errorID>356852f0-46ee-4db2-8aa7-bda37df0d0d0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41589759</paraID>
      <start>0</start>
      <end>2</end>
      <status>unmodified</status>
      <modifiedWord/>
      <trackRevisions>false</trackRevisions>
    </reviewItem>
    <reviewItem>
      <errorID>8f083f88-cd78-463b-aa09-5679b86c99ec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7EB31163</paraID>
      <start>0</start>
      <end>2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692033-e41a-476a-a142-850477d3dbd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1180</Words>
  <Characters>1300</Characters>
  <Lines>133</Lines>
  <Paragraphs>161</Paragraphs>
  <TotalTime>3</TotalTime>
  <ScaleCrop>false</ScaleCrop>
  <LinksUpToDate>false</LinksUpToDate>
  <CharactersWithSpaces>1302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2026-02-05T02:57:00Z</dcterms:created>
  <dc:creator>HP</dc:creator>
  <cp:lastModifiedBy>仲杰</cp:lastModifiedBy>
  <dcterms:modified xsi:type="dcterms:W3CDTF">2026-03-23T01:08:48Z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eyJoZGlkIjoiMjQzMjJjYTEzYzEzMjVjOGIxYWQwMTc0ZTUwZGE2YjIiLCJ1c2VySWQiOiIyOTgyOTgyOTEifQ==</vt:lpwstr>
  </property>
  <property fmtid="{D5CDD505-2E9C-101B-9397-08002B2CF9AE}" pid="4" name="ICV">
    <vt:lpwstr>2BFD31D5F3FB4B709DBC969892577809_12</vt:lpwstr>
  </property>
</Properties>
</file>