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2E" w:rsidRDefault="001F3999">
      <w:pPr>
        <w:jc w:val="center"/>
      </w:pPr>
      <w:r>
        <w:rPr>
          <w:rFonts w:hint="eastAsia"/>
          <w:b/>
          <w:bCs/>
          <w:sz w:val="28"/>
          <w:szCs w:val="28"/>
        </w:rPr>
        <w:t>智能机器感知与检测开发设备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技术参数要求</w:t>
      </w:r>
    </w:p>
    <w:p w:rsidR="00821E2E" w:rsidRDefault="004E7787">
      <w:pP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1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.</w:t>
      </w:r>
      <w:r w:rsidR="001F3999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创课无人机平台</w:t>
      </w:r>
    </w:p>
    <w:p w:rsidR="004E7787" w:rsidRDefault="004E7787" w:rsidP="004E7787">
      <w:pPr>
        <w:pStyle w:val="a0"/>
        <w:jc w:val="left"/>
        <w:rPr>
          <w:rFonts w:asciiTheme="minorEastAsia" w:hAnsiTheme="minorEastAsia" w:cstheme="minorEastAsia"/>
          <w:color w:val="000000"/>
          <w:kern w:val="0"/>
          <w:sz w:val="21"/>
          <w:szCs w:val="21"/>
          <w:lang w:bidi="ar"/>
        </w:rPr>
      </w:pPr>
    </w:p>
    <w:p w:rsidR="004E7787" w:rsidRDefault="004E7787" w:rsidP="004E7787">
      <w:pPr>
        <w:pStyle w:val="a0"/>
        <w:jc w:val="left"/>
        <w:rPr>
          <w:rFonts w:asciiTheme="minorEastAsia" w:hAnsiTheme="minorEastAsia" w:cstheme="minorEastAsia"/>
          <w:color w:val="000000"/>
          <w:kern w:val="0"/>
          <w:sz w:val="21"/>
          <w:szCs w:val="21"/>
          <w:lang w:bidi="ar"/>
        </w:rPr>
      </w:pPr>
      <w:r w:rsidRPr="004E7787">
        <w:rPr>
          <w:rFonts w:asciiTheme="minorEastAsia" w:hAnsiTheme="minorEastAsia" w:cstheme="minorEastAsia" w:hint="eastAsia"/>
          <w:color w:val="000000"/>
          <w:kern w:val="0"/>
          <w:sz w:val="21"/>
          <w:szCs w:val="21"/>
          <w:lang w:bidi="ar"/>
        </w:rPr>
        <w:t>数量：</w:t>
      </w:r>
      <w:r>
        <w:rPr>
          <w:rFonts w:asciiTheme="minorEastAsia" w:hAnsiTheme="minorEastAsia" w:cstheme="minorEastAsia" w:hint="eastAsia"/>
          <w:color w:val="000000"/>
          <w:kern w:val="0"/>
          <w:sz w:val="21"/>
          <w:szCs w:val="21"/>
          <w:lang w:bidi="ar"/>
        </w:rPr>
        <w:t>7套</w:t>
      </w:r>
    </w:p>
    <w:p w:rsidR="004E7787" w:rsidRPr="004E7787" w:rsidRDefault="004E7787" w:rsidP="004E7787">
      <w:pPr>
        <w:pStyle w:val="a4"/>
        <w:ind w:firstLine="210"/>
        <w:rPr>
          <w:lang w:bidi="ar"/>
        </w:rPr>
      </w:pPr>
    </w:p>
    <w:p w:rsidR="00821E2E" w:rsidRDefault="001F3999">
      <w:pPr>
        <w:widowControl/>
        <w:numPr>
          <w:ilvl w:val="0"/>
          <w:numId w:val="1"/>
        </w:numPr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eastAsia="zh-Hans"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功能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1.无线通信；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2.遥控器与飞控的对码与精准通信；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3.基于MPU6050的姿态获取及分析；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5.气压测量；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6.PWM调速；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7.卡尔曼滤波；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8.内置PID自动控算法，实现自、稳飞行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9.双开发模式，既能够实际飞行，又能够基于无人机扩展底板进行模拟开发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10.硬件模块可拆卸式设计，元器件裸露在外方便学习，配套模拟飞行软件，包含模拟训练课程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11.满足STM32与MSP430两种处理的学习与实际开发训练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12.支持气压计定高飞行；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13.搭配动态桌面调试支架，可以调试PID等无人机动态参数，学习并应用自动控制理论等计算机技术；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14.可在正式飞行之前调节并验证飞机的稳定性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15.可搭配PC端多功能上位机使用。动态调试过程中通过上位机观察无人机运动曲线、姿态数据等（如：PID目标值、测量值及误差值），并直接通过上位机调节这些参数或运动姿态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二、参数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1.飞控核心：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 （1）TI MSP430F5529，主频25MHZ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 （2）STM32C8T6,Cortex-M3内核，72Mhz主频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2.机架：150mm轴距,PCB材质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3.通信方式：NRF24L01模块，2.4GHz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4.传感器：姿态传感器MPU6050，气压计SPL06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5.飞机电池：3.7V/380mAH航模锂电池，充电30分钟飞行约5分钟（无负载）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6.电机：720空心杯电机，35000rpm，额定电流1.1A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7.飞机电池充电器：1S充电器，一拖六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8.螺旋桨：55mm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10.留空时间：5min-7min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11.重量：＜85g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12.最大负重：15g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13.飞行模拟器：凤凰模拟器，接口简单，安装方便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14.调试支架尺寸：长*宽*高360*220*280(mm),底座和支架组装而成；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15.调试支架可调电源：12V5A带显示屏直流电源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16.调试支架输入电压：220V，交流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17.调试支架输出电压：4.3V，5A直流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lastRenderedPageBreak/>
        <w:t>18.调试支架转接板：开关控制，内置防过载电压电路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19.第二机架：230mm轴距，8520空心杯电机，减速机架；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20.电源底板，可提供USART1、SPI等总线扩充；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21.电源底板新增750ma功率接口，可提供额外电源供应；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22.提供全部底层原理图；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23.提供下载调试接口，SWD，2.0mm间距排针连接；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24.高度传感器：VL53L1,4米量程，定高芯片；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25.光流：307光流芯片，19200波特率输出地面光流信息，测算无人机飞行角速度；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26.光流激光模块：提供VL53L1、307光流传感器，增加防干扰钢板，尺寸32mm x 20mm；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27.电池固定板，提供350-1000mah容量电池卡扣；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28.基于STM32CUBEMX的软件开发系统；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29.配置UWB套装进行无人机空中定位飞行，并且进行编队飞行；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eastAsia="zh-Hans" w:bidi="ar"/>
        </w:rPr>
        <w:t>、教学管理模块参数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1、登录方式及用户管理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支持移动端（手机、平板电脑），PC端通过网页方式打开和登陆，支持微信扫码登陆，短信验证码登陆，提供教师、学生两种不同登陆身份，移动端无需单独安装软件。学生信息支持教师批量导入及学生自主注册两种方式，教师登录端可以新增、修改、删除、导入、导出、查询学生信息，批量导入提供Excel模板。教师可以按照班级、课程、项目查询实验分数以及进行统计分析，可导出包括成绩、学习过程、实验报告等教学数据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2、★访问方式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支持学生通过终端查看实验时间安排通知，了解要完成实验内容，包含预习，实验，课后题。自己所做的实验课程、实验项目、实验进度等。实现对实验资源的访问，并能够实时在线学习，支持教师在PC端能够实现实验教学资源的上传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3、教学内容开放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教师可以在PC上任意上传实验教学内容，也可以选择其它相关上传内容。内容包括实验讲义、实验课件、理论知识、预习资料、预习测试、常见问题、指导视频等。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4、★仪器校验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实验结束后可实现仪器测试数据与实验结果填写数据的校准，支持示波器、台式万用表等主流品牌仪器的校准。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5、考核批改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PC端支持教师在线查看学生已提交的实验报告，并实现线上批量批改实验报告并判定最终成绩。要求实验报告的题型不仅要支持单选题、多选题、判断题等客观题，还要支持填空题、问答题等主观题。对于主观题的结果要求支持学生以文字、图片、短视频等形式的上传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实验报告中的客观题要实现自动批改、自动评分，主观题由教师单独批改。教师能够在线查阅学生已提交的测量数据，并反馈测量结果，可以进行通过、未通过（重做、不合格）等操作；配合数字化互动课程，具备实验过程监控功能，可实时监控学生实验时长、实验进度、答题正误情况等；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6、★数字化学情分析生成数字拓扑图，提供多项数据统计维度学情分析。</w:t>
      </w:r>
    </w:p>
    <w:p w:rsidR="00821E2E" w:rsidRDefault="001F3999">
      <w:pPr>
        <w:widowControl/>
        <w:jc w:val="left"/>
        <w:textAlignment w:val="bottom"/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7、课程资源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完整的飞控源码、实验代码、视频课程、PPT课件、实验指导书、讲义、技术资料等。包含以下内容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1）.飞行器组装与软件安装：包括组装、飞行教程；IAR软件安装使用教程等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2）.无人机概述：包括无人机发展、组成结构、飞行原理、核心技术科普等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lastRenderedPageBreak/>
        <w:t>3）.遥控器设计：包括遥控器功能、硬件设计、软件实现等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4）.无人机操控：包括基本飞行方法、经验技巧、注意事项等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5）.无人机设计：包括MSP430最小系统、电源管理、无线通信、陀螺仪设计、加速度计设计、气压计设计、PWM驱动及PID算法、卡尔曼滤波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6）.实验项目：包括组装无人机、遥控器的校准、无线数据的收发、无人机操控、基于IIC读取MPU6050数据、气压计的应用、PWM驱动及PID算法、陀螺仪的设计、卡尔曼滤波，PID参数动态调试等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7）.调试支架组装、使用教程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8）.常见问题整理</w:t>
      </w:r>
    </w:p>
    <w:p w:rsidR="00821E2E" w:rsidRDefault="00821E2E">
      <w:pP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</w:p>
    <w:p w:rsidR="00821E2E" w:rsidRDefault="004E7787">
      <w:pP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.</w:t>
      </w:r>
      <w:r w:rsidR="001F3999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空中竞技机器人开发平台</w:t>
      </w:r>
    </w:p>
    <w:p w:rsidR="004E7787" w:rsidRPr="004E7787" w:rsidRDefault="004E7787" w:rsidP="004E7787">
      <w:pPr>
        <w:pStyle w:val="a0"/>
        <w:rPr>
          <w:rFonts w:asciiTheme="minorEastAsia" w:hAnsiTheme="minorEastAsia" w:cstheme="minorEastAsia"/>
          <w:bCs/>
          <w:color w:val="000000"/>
          <w:kern w:val="0"/>
          <w:sz w:val="24"/>
          <w:lang w:bidi="ar"/>
        </w:rPr>
      </w:pPr>
    </w:p>
    <w:p w:rsidR="004E7787" w:rsidRDefault="004E7787" w:rsidP="004E7787">
      <w:pPr>
        <w:pStyle w:val="a0"/>
        <w:jc w:val="left"/>
        <w:rPr>
          <w:rFonts w:asciiTheme="minorEastAsia" w:hAnsiTheme="minorEastAsia" w:cstheme="minorEastAsia"/>
          <w:color w:val="000000"/>
          <w:kern w:val="0"/>
          <w:sz w:val="21"/>
          <w:szCs w:val="21"/>
          <w:lang w:bidi="ar"/>
        </w:rPr>
      </w:pPr>
      <w:r w:rsidRPr="004E7787">
        <w:rPr>
          <w:rFonts w:asciiTheme="minorEastAsia" w:hAnsiTheme="minorEastAsia" w:cstheme="minorEastAsia" w:hint="eastAsia"/>
          <w:color w:val="000000"/>
          <w:kern w:val="0"/>
          <w:sz w:val="21"/>
          <w:szCs w:val="21"/>
          <w:lang w:bidi="ar"/>
        </w:rPr>
        <w:t>数量：</w:t>
      </w:r>
      <w:r>
        <w:rPr>
          <w:rFonts w:asciiTheme="minorEastAsia" w:hAnsiTheme="minorEastAsia" w:cstheme="minorEastAsia"/>
          <w:color w:val="000000"/>
          <w:kern w:val="0"/>
          <w:sz w:val="21"/>
          <w:szCs w:val="21"/>
          <w:lang w:bidi="ar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1"/>
          <w:szCs w:val="21"/>
          <w:lang w:bidi="ar"/>
        </w:rPr>
        <w:t>套</w:t>
      </w:r>
    </w:p>
    <w:p w:rsidR="004E7787" w:rsidRPr="004E7787" w:rsidRDefault="004E7787" w:rsidP="004E7787">
      <w:pPr>
        <w:pStyle w:val="a4"/>
        <w:ind w:firstLine="210"/>
        <w:rPr>
          <w:lang w:bidi="ar"/>
        </w:rPr>
      </w:pPr>
    </w:p>
    <w:p w:rsidR="00821E2E" w:rsidRDefault="001F3999">
      <w:pPr>
        <w:widowControl/>
        <w:numPr>
          <w:ilvl w:val="0"/>
          <w:numId w:val="2"/>
        </w:numPr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eastAsia="zh-Hans"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功能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1.无需遥控器控制，一键程控起飞。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2.配备OpenMV光流和激光定高模块，可实现激光定高，视觉悬停；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3.无需遥控器控制，一键起飞后自主爬升到指定高度，然后根据地图路径循迹飞行，到达路径终点时自动降落；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4.无需遥控器控制，自动起飞后在指定高度悬停，且1分钟内水平误差低于20cm；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5.同时支持TI原装TI MSP-EXP432P401R LaunchPad V2.1 和 MSP-EXP432E401Y LaunchPad v1.0 开发板，支持替换飞控以进行二次开发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6.具有安全防护装置，保证飞机与人员安全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7.可安装安全固定座，通过动态调试支架调节飞控参数；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二、整机参数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1.机身尺寸：260mm×260mm×160mm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2.飞行器尺寸：355mm×355mm×160mm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3.留空时间：&lt;13min（电池2200mA）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4.起飞重量：&lt;0.4kg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5.最大载荷：0.4kg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6.活动半径：0～800m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7.飞行高度：&lt;3m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三、主要部件参数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1.飞控核心：TI MSP-EXP432P401R LaunchPad V2.1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2.传感器板：集成有加速度传感器，角加速度传感器，气压计传感器等。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3.电调：25A。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4.光流：光流具备激光测距模块；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5.电机：2205 2300KV，三相交流无刷电机。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6.螺旋桨：5045BN。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7.机架：机身采用全碳纤维机身设计，机臂，中心碳板，铝柱，固定螺丝，飞控减震板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8.电池：3300mAh，3S，25C动力电池1块，2200mAh，3S，25C动力电池1块。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9.充电器：输出功率40W，兼容4S-3S，数码管显示屏。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10.遥控器：8通道 高分辨率。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11.遥控接收机：支持SBUS、PPM、PWM模式。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lastRenderedPageBreak/>
        <w:t>12.模拟飞行软件：凤凰模拟器。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四、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eastAsia="zh-Hans" w:bidi="ar"/>
        </w:rPr>
        <w:t>教学管理模块参数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1、登录方式及用户管理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支持移动端（手机、平板电脑），PC端通过网页方式打开和登陆，支持微信扫码登陆，短信验证码登陆，提供教师、学生两种不同登陆身份，移动端无需单独安装软件。学生信息支持教师批量导入及学生自主注册两种方式，教师登录端可以新增、修改、删除、导入、导出、查询学生信息，批量导入提供Excel模板。教师可以按照班级、课程、项目查询实验分数以及进行统计分析，可导出包括成绩、学习过程、实验报告等教学数据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2、★访问方式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支持学生通过终端查看实验时间安排通知，了解要完成实验内容，包含预习，实验，课后题。自己所做的实验课程、实验项目、实验进度等。实现对实验资源的访问，并能够实时在线学习，支持教师在PC端能够实现实验教学资源的上传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3、教学内容开放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教师可以在PC上任意上传实验教学内容，也可以选择其它相关上传内容。内容包括实验讲义、实验课件、理论知识、预习资料、预习测试、常见问题、指导视频等。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4、★仪器校验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实验结束后可实现仪器测试数据与实验结果填写数据的校准，支持示波器、台式万用表等主流品牌仪器的校准。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5、考核批改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PC端支持教师在线查看学生已提交的实验报告，并实现线上批量批改实验报告并判定最终成绩。要求实验报告的题型不仅要支持单选题、多选题、判断题等客观题，还要支持填空题、问答题等主观题。对于主观题的结果要求支持学生以文字、图片、短视频等形式的上传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实验报告中的客观题要实现自动批改、自动评分，主观题由教师单独批改。教师能够在线查阅学生已提交的测量数据，并反馈测量结果，可以进行通过、未通过（重做、不合格）等操作；配合数字化互动课程，具备实验过程监控功能，可实时监控学生实验时长、实验进度、答题正误情况等；</w:t>
      </w:r>
    </w:p>
    <w:p w:rsidR="00821E2E" w:rsidRDefault="001F3999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6、★数字化学情分析生成数字拓扑图，提供多项数据统计维度学情分析。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eastAsia="zh-Hans"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7、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eastAsia="zh-Hans" w:bidi="ar"/>
        </w:rPr>
        <w:t>实验课程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完整的实验代码、视频课程、开发指导文档、技术资料等。课程包含以下内容：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1）、MSP432基础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2）、软件环境搭建及烧录测试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3）、硬件环境搭建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4）、MSP432外设应用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7）、飞行器基本控制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8）、无人机定高飞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9）、光流定点飞行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10）、OpenMV应用</w:t>
      </w:r>
    </w:p>
    <w:p w:rsidR="00821E2E" w:rsidRDefault="00821E2E">
      <w:pPr>
        <w:rPr>
          <w:rFonts w:asciiTheme="minorEastAsia" w:hAnsiTheme="minorEastAsia" w:cstheme="minorEastAsia"/>
          <w:lang w:eastAsia="zh-Hans"/>
        </w:rPr>
      </w:pPr>
    </w:p>
    <w:p w:rsidR="004E7787" w:rsidRDefault="001F3999" w:rsidP="004E7787">
      <w:pPr>
        <w:pStyle w:val="a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Cs/>
          <w:color w:val="000000"/>
          <w:kern w:val="0"/>
          <w:sz w:val="24"/>
          <w:lang w:bidi="ar"/>
        </w:rPr>
        <w:t>室内编队无人机</w:t>
      </w:r>
    </w:p>
    <w:p w:rsidR="004E7787" w:rsidRDefault="004E7787" w:rsidP="004E7787">
      <w:pPr>
        <w:pStyle w:val="a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lang w:bidi="ar"/>
        </w:rPr>
      </w:pPr>
    </w:p>
    <w:p w:rsidR="004E7787" w:rsidRPr="004E7787" w:rsidRDefault="004E7787" w:rsidP="004E7787">
      <w:pPr>
        <w:pStyle w:val="a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lang w:bidi="ar"/>
        </w:rPr>
      </w:pPr>
      <w:r w:rsidRPr="004E7787">
        <w:rPr>
          <w:rFonts w:asciiTheme="minorEastAsia" w:hAnsiTheme="minorEastAsia" w:cstheme="minorEastAsia" w:hint="eastAsia"/>
          <w:bCs/>
          <w:color w:val="000000"/>
          <w:kern w:val="0"/>
          <w:sz w:val="24"/>
          <w:lang w:bidi="ar"/>
        </w:rPr>
        <w:t>数量：</w:t>
      </w:r>
      <w:r>
        <w:rPr>
          <w:rFonts w:asciiTheme="minorEastAsia" w:hAnsiTheme="minorEastAsia" w:cstheme="minorEastAsia"/>
          <w:bCs/>
          <w:color w:val="000000"/>
          <w:kern w:val="0"/>
          <w:sz w:val="24"/>
          <w:lang w:bidi="ar"/>
        </w:rPr>
        <w:t>1</w:t>
      </w:r>
      <w:r w:rsidRPr="004E7787">
        <w:rPr>
          <w:rFonts w:asciiTheme="minorEastAsia" w:hAnsiTheme="minorEastAsia" w:cstheme="minorEastAsia" w:hint="eastAsia"/>
          <w:bCs/>
          <w:color w:val="000000"/>
          <w:kern w:val="0"/>
          <w:sz w:val="24"/>
          <w:lang w:bidi="ar"/>
        </w:rPr>
        <w:t>套</w:t>
      </w:r>
    </w:p>
    <w:p w:rsidR="00821E2E" w:rsidRPr="004E7787" w:rsidRDefault="00821E2E">
      <w:pPr>
        <w:rPr>
          <w:rFonts w:asciiTheme="minorEastAsia" w:hAnsiTheme="minorEastAsia" w:cstheme="minorEastAsia"/>
          <w:b/>
          <w:bCs/>
        </w:rPr>
      </w:pP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eastAsia="zh-Hans" w:bidi="ar"/>
        </w:rPr>
        <w:lastRenderedPageBreak/>
        <w:t>一、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软件功能需求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1、编队飞行监控软件：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1)软件必须为绿色版，无需做任何安装，双击即可使用。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2)无论中继器是否连接，均可通过wifi连接基站；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3)支持一键快速与基站连接；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4)支持配置相关编译器，可自主选择编译器地址；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5)支持配置编队脚本的文件地址，可自主选择相关文件地址，且软件自带相关脚本文件；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6)支持读取所有无人机的ID序号及所编辑舞步的名称；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7)支持自主添加多架无人机，并能够读取多架无人机静态和动态下的状态；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★8)可实时查看无人机的当前坐标、舞步坐标、无人机飞行时间、无人机电量、磁力计状态、飞机航向角等等信息；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★9)但选中任意两架无人机时可即时计算出两架无人机的间距，方便舞步设计人员实时掌握无人机实际飞行的状态，能够及时预测撞击风险，比仿真内观测更加直观；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10)编队无人机监控软件需与室内编队无人机为同一品牌；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11)软件平台终身免费更新。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2、软件资源：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1)编队飞行监控软件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2)简易编队飞行操控App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3)Scratch编程PAD、PC版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4)Python编程 PC版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5)专业编队飞行操控上位机软件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二、产品规格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1、飞行器：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1)轴距：165 mm 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2)尺寸：208.67mm*208.67mm*93.92mm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3)重量（包含电池和保护罩）：190g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4)最大飞行定位高度：10m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5)抗风等级：3 级风（3.4～5.4 m/s）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6)续航时间：13min（常规电池）、1min （低温电池）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7)工作温度：常规电池5℃～+40℃ 、低温电池-5℃～+40℃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  8)定位模式：TOF、UWB与气压传感器三重定位，无需GPS，定位范围更大，更准，可支持最大40X40X30米的三维空间定位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2、中继器：连接方式：Type-C 接口与控制终端直连，配备笔记本电脑中继器安装支架，通讯范围更广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3、基站：供电电压：DC5V，最大传输距离：30米，可使用基站或者wifi与PC端、移动端链接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4、控制方式：可由手机APP或者电脑PC端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5、电池：电池容量：1500 mAh低温电池容量：1300mAh，常规电池5℃～+40℃、低温电池-5℃～+40℃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6、适配器：输入电压：AC 100-240V，输出电压：DC 12V，输出电流：2.5A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 xml:space="preserve">7、充电座：输入电压：DC 12V，输出电压：9V，充电电流：2A 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eastAsia="zh-Hans" w:bidi="ar"/>
        </w:rPr>
        <w:t>三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、课程管理模块参数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1.课程平台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lastRenderedPageBreak/>
        <w:t>1.1登录方式及用户管理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支持移动端（手机、平板电脑），PC端通过网页方式打开和登陆，支持微信扫码登陆，短信验证码登陆，提供教师、学生两种不同登陆身份，移动端无需单独安装软件。学生信息支持教师批量导入及学生自主注册两种方式，教师登录端可以新增、修改、删除、导入、导出、查询学生信息，批量导入提供Excel模板。教师可以按照班级、课程、项目查询实训分数以及进行统计分析，可导出包括成绩、学习过程、实训报告等教学数据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1.2访问方式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支持学生通过终端查看实训时间安排通知，了解要完成实训内容，包含预习，实训，课后题。自己所做的实训课程、实训项目、实训进度等。实现对实训资源的访问，并能够实时在线学习，支持教师在PC端能够实现实训教学资源的上传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1.3考核批改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PC端支持教师在线查看学生答题情况，并实现线上批量批改答题数据并判定最终成绩。要求题目的题型不仅要支持单选题、多选题、判断题等客观题，还要支持填空题、问答题等主观题。对于主观题的结果要求支持学生以文字、图片、短视频等形式的上传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br/>
        <w:t>实训报告中的客观题要实现自动批改、自动评分，主观题由教师单独批改。教师能够在线查阅学生已提交的测量数据，并反馈测量结果，可以进行通过、未通过（重做、不合格）等操作；配合数字化互动课程，具备实训过程监控功能，可实时监控学生实训时长、实训进度、答题正误情况等；</w:t>
      </w:r>
    </w:p>
    <w:p w:rsidR="00821E2E" w:rsidRDefault="001F3999">
      <w:pPr>
        <w:widowControl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1.4数字化学情分析生成数字拓扑图，提供多项数据统计维度学情分析，包括但不限于以下数据维度，提供图片证明材料；分数统计数据A：最高分、最低分、平均分、标准差、满分人数、满分者、满分率、零分人数、零分者、零分率、优秀人数、优秀率、及格人数、及格率、不及格人数、不及格率、正态分布图、排名（正序）、排名（倒序）。用户定制数据B；学情统计数据：最少用时、最多用时、平均用时、标准差、时长正态分布图。用户定制数据C；逐题分析数据：应得分、逐题权重、得分率、平均得分、得分分布、得分占比、得分权重、满分人数、满分者、满分率、零分人数、零分者、作弊判断。用户定制数据D；过程实时数据：进度指示、进度分布、实时得分、实时用时、平均用时、最多用时、最少用时、逐题用时、作弊判断、用户定制数据。</w:t>
      </w:r>
    </w:p>
    <w:p w:rsidR="00821E2E" w:rsidRPr="00033473" w:rsidRDefault="001F3999" w:rsidP="00033473">
      <w:pPr>
        <w:widowControl/>
        <w:ind w:left="420" w:hangingChars="200" w:hanging="420"/>
        <w:jc w:val="left"/>
        <w:textAlignment w:val="bottom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2、</w:t>
      </w:r>
      <w:r w:rsidR="00033473"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包含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不少于1</w:t>
      </w:r>
      <w:r>
        <w:rPr>
          <w:rFonts w:asciiTheme="minorEastAsia" w:hAnsiTheme="minorEastAsia" w:cstheme="minorEastAsia"/>
          <w:color w:val="000000"/>
          <w:kern w:val="0"/>
          <w:szCs w:val="21"/>
          <w:lang w:bidi="ar"/>
        </w:rPr>
        <w:t>0项无人机实操</w:t>
      </w:r>
      <w:r w:rsidR="002B3D9E"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实验课程</w:t>
      </w: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  <w:lang w:bidi="ar"/>
        </w:rPr>
        <w:t xml:space="preserve"> 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 w:bidi="ar"/>
        </w:rPr>
        <w:t xml:space="preserve">    </w:t>
      </w:r>
    </w:p>
    <w:p w:rsidR="00821E2E" w:rsidRPr="00033473" w:rsidRDefault="00821E2E">
      <w:pPr>
        <w:rPr>
          <w:rFonts w:asciiTheme="minorEastAsia" w:hAnsiTheme="minorEastAsia" w:cstheme="minorEastAsia"/>
        </w:rPr>
      </w:pPr>
    </w:p>
    <w:p w:rsidR="0037183F" w:rsidRPr="00700CA2" w:rsidRDefault="001F3999" w:rsidP="0037183F">
      <w:pPr>
        <w:pStyle w:val="a4"/>
        <w:ind w:firstLineChars="0" w:firstLine="0"/>
        <w:rPr>
          <w:rFonts w:eastAsia="宋体" w:cs="Times New Roman"/>
        </w:rPr>
      </w:pPr>
      <w:r>
        <w:rPr>
          <w:rFonts w:asciiTheme="minorEastAsia" w:hAnsiTheme="minorEastAsia" w:cstheme="minorEastAsia" w:hint="eastAsia"/>
        </w:rPr>
        <w:t>注：</w:t>
      </w:r>
      <w:r w:rsidR="0037183F" w:rsidRPr="00700CA2">
        <w:rPr>
          <w:rFonts w:eastAsia="宋体" w:cs="Times New Roman" w:hint="eastAsia"/>
        </w:rPr>
        <w:t>1</w:t>
      </w:r>
      <w:r w:rsidR="0037183F" w:rsidRPr="00700CA2">
        <w:rPr>
          <w:rFonts w:eastAsia="宋体" w:cs="Times New Roman"/>
        </w:rPr>
        <w:t>.</w:t>
      </w:r>
      <w:r w:rsidR="0037183F" w:rsidRPr="00700CA2">
        <w:rPr>
          <w:rFonts w:eastAsia="宋体" w:cs="Times New Roman" w:hint="eastAsia"/>
        </w:rPr>
        <w:t>加★号指标必须满足</w:t>
      </w:r>
    </w:p>
    <w:p w:rsidR="0037183F" w:rsidRPr="00700CA2" w:rsidRDefault="0037183F" w:rsidP="0037183F">
      <w:pPr>
        <w:spacing w:after="120"/>
        <w:rPr>
          <w:rFonts w:ascii="宋体" w:eastAsia="宋体" w:hAnsi="宋体" w:cs="Times New Roman"/>
          <w:kern w:val="1"/>
        </w:rPr>
      </w:pPr>
      <w:r w:rsidRPr="00700CA2">
        <w:rPr>
          <w:rFonts w:ascii="宋体" w:eastAsia="宋体" w:hAnsi="宋体" w:cs="Times New Roman" w:hint="eastAsia"/>
          <w:kern w:val="1"/>
        </w:rPr>
        <w:t>2</w:t>
      </w:r>
      <w:r w:rsidRPr="00700CA2">
        <w:rPr>
          <w:rFonts w:ascii="宋体" w:eastAsia="宋体" w:hAnsi="宋体" w:cs="Times New Roman"/>
          <w:kern w:val="1"/>
        </w:rPr>
        <w:t>.</w:t>
      </w:r>
      <w:r w:rsidRPr="00700CA2">
        <w:rPr>
          <w:rFonts w:ascii="宋体" w:eastAsia="宋体" w:hAnsi="宋体" w:cs="Times New Roman" w:hint="eastAsia"/>
          <w:kern w:val="1"/>
        </w:rPr>
        <w:t>保修期：不少于1年</w:t>
      </w:r>
      <w:bookmarkStart w:id="0" w:name="_GoBack"/>
      <w:bookmarkEnd w:id="0"/>
    </w:p>
    <w:p w:rsidR="0037183F" w:rsidRPr="00700CA2" w:rsidRDefault="0037183F" w:rsidP="0037183F">
      <w:pPr>
        <w:spacing w:after="120"/>
        <w:rPr>
          <w:rFonts w:ascii="宋体" w:eastAsia="宋体" w:hAnsi="宋体" w:cs="Times New Roman"/>
          <w:kern w:val="1"/>
        </w:rPr>
      </w:pPr>
      <w:r w:rsidRPr="00700CA2">
        <w:rPr>
          <w:rFonts w:ascii="宋体" w:eastAsia="宋体" w:hAnsi="宋体" w:cs="Times New Roman" w:hint="eastAsia"/>
          <w:kern w:val="1"/>
        </w:rPr>
        <w:t>3</w:t>
      </w:r>
      <w:r w:rsidRPr="00700CA2">
        <w:rPr>
          <w:rFonts w:ascii="宋体" w:eastAsia="宋体" w:hAnsi="宋体" w:cs="Times New Roman"/>
          <w:kern w:val="1"/>
        </w:rPr>
        <w:t>.交货期：合同签订后</w:t>
      </w:r>
      <w:r>
        <w:rPr>
          <w:rFonts w:ascii="宋体" w:eastAsia="宋体" w:hAnsi="宋体" w:cs="Times New Roman"/>
          <w:kern w:val="1"/>
        </w:rPr>
        <w:t>6</w:t>
      </w:r>
      <w:r w:rsidRPr="00700CA2">
        <w:rPr>
          <w:rFonts w:ascii="宋体" w:eastAsia="宋体" w:hAnsi="宋体" w:cs="Times New Roman" w:hint="eastAsia"/>
          <w:kern w:val="1"/>
        </w:rPr>
        <w:t>周内</w:t>
      </w:r>
    </w:p>
    <w:p w:rsidR="00821E2E" w:rsidRPr="0037183F" w:rsidRDefault="00821E2E" w:rsidP="0037183F">
      <w:pPr>
        <w:pStyle w:val="a4"/>
        <w:ind w:firstLineChars="0" w:firstLine="0"/>
      </w:pPr>
    </w:p>
    <w:sectPr w:rsidR="00821E2E" w:rsidRPr="00371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99" w:rsidRDefault="00D21699" w:rsidP="0037183F">
      <w:r>
        <w:separator/>
      </w:r>
    </w:p>
  </w:endnote>
  <w:endnote w:type="continuationSeparator" w:id="0">
    <w:p w:rsidR="00D21699" w:rsidRDefault="00D21699" w:rsidP="0037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99" w:rsidRDefault="00D21699" w:rsidP="0037183F">
      <w:r>
        <w:separator/>
      </w:r>
    </w:p>
  </w:footnote>
  <w:footnote w:type="continuationSeparator" w:id="0">
    <w:p w:rsidR="00D21699" w:rsidRDefault="00D21699" w:rsidP="0037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F2C349"/>
    <w:multiLevelType w:val="singleLevel"/>
    <w:tmpl w:val="F5F2C3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ED5BA5"/>
    <w:multiLevelType w:val="singleLevel"/>
    <w:tmpl w:val="FFED5B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ZWRhZjg1MDZhNmViODk4ZWYxZGRmMWMxYTMwNWEifQ=="/>
  </w:docVars>
  <w:rsids>
    <w:rsidRoot w:val="DE4F508A"/>
    <w:rsid w:val="DE4F508A"/>
    <w:rsid w:val="00033473"/>
    <w:rsid w:val="001F3999"/>
    <w:rsid w:val="002B3D9E"/>
    <w:rsid w:val="0037183F"/>
    <w:rsid w:val="004E7787"/>
    <w:rsid w:val="00821E2E"/>
    <w:rsid w:val="00D21699"/>
    <w:rsid w:val="116210AD"/>
    <w:rsid w:val="153E45AB"/>
    <w:rsid w:val="2E4C42F1"/>
    <w:rsid w:val="41F84181"/>
    <w:rsid w:val="49A241E5"/>
    <w:rsid w:val="524B7D2C"/>
    <w:rsid w:val="55E52C21"/>
    <w:rsid w:val="6701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C77FB7-5D01-4210-B667-B363625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qFormat/>
    <w:pPr>
      <w:jc w:val="center"/>
    </w:pPr>
    <w:rPr>
      <w:rFonts w:ascii="宋体" w:hAnsi="宋体"/>
      <w:b/>
      <w:kern w:val="1"/>
      <w:sz w:val="72"/>
    </w:rPr>
  </w:style>
  <w:style w:type="paragraph" w:styleId="a4">
    <w:name w:val="Body Text First Indent"/>
    <w:basedOn w:val="a0"/>
    <w:qFormat/>
    <w:pPr>
      <w:spacing w:after="120"/>
      <w:ind w:firstLineChars="100" w:firstLine="420"/>
      <w:jc w:val="both"/>
    </w:pPr>
    <w:rPr>
      <w:b w:val="0"/>
      <w:sz w:val="21"/>
    </w:rPr>
  </w:style>
  <w:style w:type="paragraph" w:styleId="a5">
    <w:name w:val="Body Text Indent"/>
    <w:basedOn w:val="a"/>
    <w:qFormat/>
    <w:pPr>
      <w:ind w:firstLine="645"/>
    </w:pPr>
    <w:rPr>
      <w:rFonts w:ascii="Arial" w:eastAsia="仿宋_GB2312" w:hAnsi="Arial"/>
      <w:sz w:val="28"/>
    </w:rPr>
  </w:style>
  <w:style w:type="paragraph" w:styleId="2">
    <w:name w:val="Body Text First Indent 2"/>
    <w:basedOn w:val="a5"/>
    <w:uiPriority w:val="99"/>
    <w:unhideWhenUsed/>
    <w:qFormat/>
    <w:pPr>
      <w:ind w:firstLine="420"/>
    </w:pPr>
  </w:style>
  <w:style w:type="character" w:customStyle="1" w:styleId="Char">
    <w:name w:val="正文文本 Char"/>
    <w:basedOn w:val="a1"/>
    <w:link w:val="a0"/>
    <w:uiPriority w:val="99"/>
    <w:rsid w:val="004E7787"/>
    <w:rPr>
      <w:rFonts w:ascii="宋体" w:hAnsi="宋体"/>
      <w:b/>
      <w:kern w:val="1"/>
      <w:sz w:val="72"/>
      <w:szCs w:val="24"/>
    </w:rPr>
  </w:style>
  <w:style w:type="paragraph" w:styleId="a6">
    <w:name w:val="header"/>
    <w:basedOn w:val="a"/>
    <w:link w:val="Char0"/>
    <w:rsid w:val="00371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37183F"/>
    <w:rPr>
      <w:kern w:val="2"/>
      <w:sz w:val="18"/>
      <w:szCs w:val="18"/>
    </w:rPr>
  </w:style>
  <w:style w:type="paragraph" w:styleId="a7">
    <w:name w:val="footer"/>
    <w:basedOn w:val="a"/>
    <w:link w:val="Char1"/>
    <w:rsid w:val="00371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3718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雪亮</dc:creator>
  <cp:lastModifiedBy>thinkpad</cp:lastModifiedBy>
  <cp:revision>4</cp:revision>
  <dcterms:created xsi:type="dcterms:W3CDTF">2022-09-15T13:17:00Z</dcterms:created>
  <dcterms:modified xsi:type="dcterms:W3CDTF">2022-09-15T14:06:00Z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142C2DF6DE47794EC682216322BA96E0</vt:lpwstr>
  </property>
</Properties>
</file>