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0F943">
      <w:pPr>
        <w:spacing w:line="360" w:lineRule="auto"/>
        <w:jc w:val="left"/>
        <w:rPr>
          <w:rFonts w:ascii="宋体" w:hAnsi="宋体"/>
          <w:b/>
          <w:sz w:val="32"/>
          <w:szCs w:val="32"/>
        </w:rPr>
      </w:pPr>
      <w:bookmarkStart w:id="0" w:name="_Toc28359012"/>
      <w:r>
        <w:rPr>
          <w:rFonts w:hint="eastAsia" w:ascii="宋体" w:hAnsi="宋体"/>
          <w:b/>
          <w:sz w:val="32"/>
          <w:szCs w:val="32"/>
        </w:rPr>
        <w:t>附件一：</w:t>
      </w:r>
    </w:p>
    <w:p w14:paraId="7302151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北区室内网球场灯具设备需求</w:t>
      </w:r>
    </w:p>
    <w:p w14:paraId="6970CEE8">
      <w:pPr>
        <w:spacing w:line="5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一、项目基本情况</w:t>
      </w:r>
      <w:bookmarkEnd w:id="0"/>
    </w:p>
    <w:p w14:paraId="30CCCC0C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根据学校的需求，采购对北区室内网球场灯具设备，拟采取比选方式实施采购。</w:t>
      </w:r>
    </w:p>
    <w:p w14:paraId="633C0A8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北区室内网球场建成启用至今已达十八年，目前网球场用于体育教学、日常训练、比赛等活动，也用于师生课余体育锻炼，使用频率较高，深受广大师生喜爱。</w:t>
      </w:r>
    </w:p>
    <w:p w14:paraId="2BE955E8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目前场地照明灯具使用的是42套1000w金卤灯，年限较长，其中大部分灯具已发生损坏及明显光衰，照明亮度不足，均匀度也不够好，灯具使用年限久，容易跳闸，灯罩突然爆裂等，影响使用安全。</w:t>
      </w:r>
    </w:p>
    <w:p w14:paraId="2DC65646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现场照度检测情况：划线区域平均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照度</w:t>
      </w:r>
      <w:r>
        <w:rPr>
          <w:rFonts w:hint="eastAsia" w:ascii="仿宋" w:hAnsi="仿宋" w:eastAsia="仿宋" w:cs="仿宋"/>
          <w:sz w:val="28"/>
          <w:szCs w:val="28"/>
        </w:rPr>
        <w:t>大于750lx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整场照度大于500lx。改造后金卤灯改造成LED灯，平均照度不低于1000 lx，安装方式仍采用侧投方式，带防眩遮光罩，要求防眩做到</w:t>
      </w:r>
      <w:r>
        <w:rPr>
          <w:rFonts w:ascii="仿宋" w:hAnsi="仿宋" w:eastAsia="仿宋" w:cs="仿宋"/>
          <w:sz w:val="28"/>
          <w:szCs w:val="28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以下。</w:t>
      </w:r>
    </w:p>
    <w:p w14:paraId="7637DCAA">
      <w:pPr>
        <w:spacing w:line="540" w:lineRule="exact"/>
        <w:ind w:firstLine="560" w:firstLineChars="200"/>
        <w:rPr>
          <w:rFonts w:ascii="仿宋" w:hAnsi="仿宋" w:eastAsia="仿宋" w:cs="仿宋"/>
          <w:b/>
          <w:bCs/>
          <w:sz w:val="28"/>
          <w:szCs w:val="28"/>
        </w:rPr>
      </w:pPr>
      <w:bookmarkStart w:id="1" w:name="_Toc28359013"/>
      <w:r>
        <w:rPr>
          <w:rFonts w:hint="eastAsia" w:ascii="黑体" w:hAnsi="黑体" w:eastAsia="黑体" w:cs="黑体"/>
          <w:sz w:val="28"/>
          <w:szCs w:val="28"/>
        </w:rPr>
        <w:t>二、投标人资格要求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bookmarkEnd w:id="1"/>
    </w:p>
    <w:p w14:paraId="3DE96449">
      <w:pPr>
        <w:spacing w:line="5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1、具有独立法人的经营企业；</w:t>
      </w:r>
    </w:p>
    <w:p w14:paraId="586EC810">
      <w:pPr>
        <w:spacing w:line="5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、经营范围及拟投标货物（服务）符合本次比选要求，具有与本次投标货物（服务）相应的经营、代理（经销）资质，能全程参与并完成本项目，且具有较强的服务能力，以及畅通的问题响应机制和渠道等；</w:t>
      </w:r>
    </w:p>
    <w:p w14:paraId="739DFCBE">
      <w:pPr>
        <w:spacing w:line="54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、本项目不接受联合体投标。</w:t>
      </w:r>
    </w:p>
    <w:p w14:paraId="5CA15AE2">
      <w:pPr>
        <w:spacing w:line="5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bookmarkStart w:id="2" w:name="_Toc28359092"/>
      <w:r>
        <w:rPr>
          <w:rFonts w:hint="eastAsia" w:ascii="黑体" w:hAnsi="黑体" w:eastAsia="黑体" w:cs="黑体"/>
          <w:sz w:val="28"/>
          <w:szCs w:val="28"/>
        </w:rPr>
        <w:t>三、报价文件提交</w:t>
      </w:r>
      <w:bookmarkEnd w:id="2"/>
    </w:p>
    <w:p w14:paraId="7AED2198">
      <w:pPr>
        <w:widowControl/>
        <w:spacing w:line="540" w:lineRule="exact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（一）报价文件内容包括但不限于下列部分：</w:t>
      </w:r>
    </w:p>
    <w:p w14:paraId="79205020">
      <w:pPr>
        <w:widowControl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Hans"/>
        </w:rPr>
      </w:pPr>
      <w:r>
        <w:rPr>
          <w:rFonts w:hint="eastAsia" w:ascii="仿宋" w:hAnsi="仿宋" w:eastAsia="仿宋" w:cs="仿宋"/>
          <w:sz w:val="28"/>
          <w:szCs w:val="28"/>
        </w:rPr>
        <w:t>1、商务部分：报价表（需加盖公章），企业法人授权委托书原件（需有法人及代理人签字并加盖公章）、法定代表人或被委托人身份证复印件、营业执照。</w:t>
      </w:r>
    </w:p>
    <w:p w14:paraId="081BC50B">
      <w:pPr>
        <w:widowControl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、技术及服务部分：提供对应技术参数设备相关资料、售后服务承诺、业绩证明。</w:t>
      </w:r>
    </w:p>
    <w:p w14:paraId="3765D3CA">
      <w:pPr>
        <w:widowControl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、其他：供应商认为可以提供的其他相关材料。</w:t>
      </w:r>
    </w:p>
    <w:p w14:paraId="00600BFE">
      <w:pPr>
        <w:pStyle w:val="5"/>
        <w:widowControl/>
        <w:spacing w:line="54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（二）报价文件要求：</w:t>
      </w:r>
    </w:p>
    <w:p w14:paraId="6EB65942">
      <w:pPr>
        <w:pStyle w:val="5"/>
        <w:widowControl/>
        <w:spacing w:line="540" w:lineRule="exact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1、报价文件需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法人代表签字</w:t>
      </w:r>
      <w:r>
        <w:rPr>
          <w:rFonts w:hint="eastAsia" w:ascii="仿宋" w:hAnsi="仿宋" w:eastAsia="仿宋" w:cs="仿宋"/>
          <w:sz w:val="28"/>
          <w:szCs w:val="28"/>
        </w:rPr>
        <w:t>或授权代理人签字并加盖公章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扫描成pdf文件发送至</w:t>
      </w:r>
      <w:r>
        <w:fldChar w:fldCharType="begin"/>
      </w:r>
      <w:r>
        <w:instrText xml:space="preserve"> HYPERLINK "mailto:quotation@shmtu.edu.cn" </w:instrText>
      </w:r>
      <w:r>
        <w:fldChar w:fldCharType="separate"/>
      </w:r>
      <w:r>
        <w:rPr>
          <w:rStyle w:val="13"/>
          <w:rFonts w:ascii="Times New Roman" w:hAnsi="Times New Roman"/>
          <w:color w:val="auto"/>
          <w:sz w:val="28"/>
          <w:szCs w:val="28"/>
        </w:rPr>
        <w:t>quotation@shmtu.edu.cn</w:t>
      </w:r>
      <w:r>
        <w:rPr>
          <w:rStyle w:val="13"/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4EE7490">
      <w:pPr>
        <w:widowControl/>
        <w:spacing w:line="54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2、报价文件的递交截止时间为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202</w:t>
      </w:r>
      <w:r>
        <w:rPr>
          <w:rFonts w:ascii="仿宋" w:hAnsi="仿宋" w:eastAsia="仿宋" w:cs="仿宋"/>
          <w:color w:val="FF0000"/>
          <w:sz w:val="28"/>
          <w:szCs w:val="28"/>
        </w:rPr>
        <w:t>4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年</w:t>
      </w:r>
      <w:r>
        <w:rPr>
          <w:rFonts w:ascii="仿宋" w:hAnsi="仿宋" w:eastAsia="仿宋" w:cs="仿宋"/>
          <w:color w:val="FF0000"/>
          <w:sz w:val="28"/>
          <w:szCs w:val="28"/>
        </w:rPr>
        <w:t>4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月</w:t>
      </w:r>
      <w:r>
        <w:rPr>
          <w:rFonts w:ascii="仿宋" w:hAnsi="仿宋" w:eastAsia="仿宋" w:cs="仿宋"/>
          <w:color w:val="FF0000"/>
          <w:sz w:val="28"/>
          <w:szCs w:val="28"/>
        </w:rPr>
        <w:t>15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日1</w:t>
      </w:r>
      <w:r>
        <w:rPr>
          <w:rFonts w:ascii="仿宋" w:hAnsi="仿宋" w:eastAsia="仿宋" w:cs="仿宋"/>
          <w:color w:val="FF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:00（北京时间）</w:t>
      </w:r>
      <w:r>
        <w:rPr>
          <w:rFonts w:hint="eastAsia" w:ascii="仿宋" w:hAnsi="仿宋" w:eastAsia="仿宋" w:cs="仿宋"/>
          <w:sz w:val="28"/>
          <w:szCs w:val="28"/>
        </w:rPr>
        <w:t>，请在此时间前发送。</w:t>
      </w:r>
    </w:p>
    <w:p w14:paraId="31DCC79B">
      <w:pPr>
        <w:pStyle w:val="5"/>
        <w:ind w:left="0" w:leftChars="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3、逾期送达或者未送达指定地点的报价文件，采购人不予受理。</w:t>
      </w:r>
    </w:p>
    <w:p w14:paraId="7E9C472B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 w14:paraId="52818135">
      <w:pPr>
        <w:spacing w:line="540" w:lineRule="exact"/>
        <w:ind w:firstLine="56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8"/>
          <w:szCs w:val="28"/>
        </w:rPr>
        <w:t>四、采购需求：</w:t>
      </w:r>
    </w:p>
    <w:tbl>
      <w:tblPr>
        <w:tblStyle w:val="10"/>
        <w:tblW w:w="499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738"/>
        <w:gridCol w:w="8549"/>
        <w:gridCol w:w="973"/>
        <w:gridCol w:w="1029"/>
        <w:gridCol w:w="1437"/>
      </w:tblGrid>
      <w:tr w14:paraId="00218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 w14:paraId="3A68701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 w14:paraId="423DFD3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3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 w14:paraId="5F1D2A0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 w14:paraId="653275C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 w14:paraId="344E468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vAlign w:val="center"/>
          </w:tcPr>
          <w:p w14:paraId="1BCBED4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7F61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999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99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接线盒</w:t>
            </w:r>
          </w:p>
        </w:tc>
        <w:tc>
          <w:tcPr>
            <w:tcW w:w="3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6F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86型明盒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37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B5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A92C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2D14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1B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D4A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灯具400W</w:t>
            </w:r>
          </w:p>
        </w:tc>
        <w:tc>
          <w:tcPr>
            <w:tcW w:w="3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7C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448224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（1）400wLED投光灯，显色性Ra≥80,R9≥0，色温要求：6000K≥Tcp≥5000K，灯具无频闪：频闪比低于3%，带遮光罩，为了保证散热良好和低光衰，光源采用SMD方式进行封装。提供证明</w:t>
            </w:r>
          </w:p>
          <w:p w14:paraId="7DA884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（2）220V，灯具需按照接地规定，电阻≤0.5Ω，灯具防触电保护类别I类， 灯具防水等级 IP66，为保证系统运行效率，灯具的功率因数不低于0.97、满足0-10V调光。</w:t>
            </w:r>
          </w:p>
          <w:p w14:paraId="2CBFAF5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（3）灯具能在环境温度-20℃到40℃中正常工作。</w:t>
            </w:r>
          </w:p>
          <w:p w14:paraId="6A2C533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（4）灯具要求采用体育场馆专用LED防眩投光灯；避免眩光，灯具光源有防眩透镜或溢光罩。</w:t>
            </w:r>
          </w:p>
          <w:p w14:paraId="6B8802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（5）灯具要有CCC或CQC证书</w:t>
            </w:r>
          </w:p>
          <w:p w14:paraId="476311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（6）灯具要有CQC检查报告，包含安全认证试验报告、电磁兼容检测报告、蓝光检测报告均合格，其中灯具蓝光危害风险组别不低于RG1）。</w:t>
            </w:r>
          </w:p>
          <w:p w14:paraId="471F8F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（7）每套灯具均需具有唯一可识别的二维码身份信息，可采集灯具使用时间、售后服务等信息，确保灯具常态化安全可靠运营</w:t>
            </w:r>
          </w:p>
          <w:p w14:paraId="04CD3BC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（8）LED芯片采用美国CREE(科瑞)、德国OSRAM(欧司朗)、荷兰PHILPS（飞利浦），LED封装应为上述品牌原厂封装。</w:t>
            </w:r>
          </w:p>
          <w:p w14:paraId="2CD952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（9）灯具满足侧装、坐式等多种安装方式。</w:t>
            </w:r>
          </w:p>
          <w:p w14:paraId="040ED5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（10）LED的Ts（焊点）温度不能高于85度，保证光源的寿命，降低光衰的速度，光源平均寿命不低于10万小时，提供相应的寿命曲线。</w:t>
            </w:r>
          </w:p>
          <w:p w14:paraId="1E3806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（11）灯具需要有刻度盘，满足上下，前后左右360°调试，保证场地均匀度。</w:t>
            </w:r>
          </w:p>
          <w:p w14:paraId="3DD7D2E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（12）配光不少于3种，40°/60°/90°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AA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8B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1103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玛斯柯、海洋王、科锐</w:t>
            </w:r>
          </w:p>
        </w:tc>
      </w:tr>
      <w:tr w14:paraId="5891C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20A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CC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灯具配套安装支架</w:t>
            </w:r>
          </w:p>
        </w:tc>
        <w:tc>
          <w:tcPr>
            <w:tcW w:w="3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A1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定制镀锌防腐灯具安装支架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74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72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AC4F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0C05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A1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CED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电力电缆 WDZB-BYJ 3*4</w:t>
            </w:r>
          </w:p>
        </w:tc>
        <w:tc>
          <w:tcPr>
            <w:tcW w:w="3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60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名称:电力电缆;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型号: WDZB-BYJ 3*4；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121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CB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0E63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8A76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33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CCB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国标软管</w:t>
            </w:r>
          </w:p>
        </w:tc>
        <w:tc>
          <w:tcPr>
            <w:tcW w:w="3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BFB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金属软管20mm内每根长800mm内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D3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3B6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4D65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F116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45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7A2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电缆保护管SC20</w:t>
            </w:r>
          </w:p>
        </w:tc>
        <w:tc>
          <w:tcPr>
            <w:tcW w:w="3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59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名称:电缆保护管SC20;材质:镀锌钢管;规格:JDG20;配置形式:沿网架钢梁敷设;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184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BE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33BD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0BBBC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C0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7CF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安装调试</w:t>
            </w:r>
          </w:p>
        </w:tc>
        <w:tc>
          <w:tcPr>
            <w:tcW w:w="3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E61F4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名称:安装、系统调试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50C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41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A09D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676C5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1B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41F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灯具拆除、垃圾清运</w:t>
            </w:r>
          </w:p>
        </w:tc>
        <w:tc>
          <w:tcPr>
            <w:tcW w:w="3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C47BE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名称:灯具拆除、垃圾清运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317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BE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5090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1D9C7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B2E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62D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施工辅材</w:t>
            </w:r>
          </w:p>
        </w:tc>
        <w:tc>
          <w:tcPr>
            <w:tcW w:w="3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0802BE">
            <w:pPr>
              <w:widowControl/>
              <w:jc w:val="left"/>
              <w:textAlignment w:val="center"/>
            </w:pPr>
            <w:bookmarkStart w:id="4" w:name="_GoBack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包干</w:t>
            </w:r>
            <w:bookmarkEnd w:id="4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网线、波纹管、绝缘胶带、螺丝、堵头、PVC胶、电钻以及热融机、钻头、防坠链、角磨机等。</w:t>
            </w:r>
          </w:p>
        </w:tc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F1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F81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6332"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 w14:paraId="5343ADE7">
      <w:pPr>
        <w:rPr>
          <w:rFonts w:ascii="黑体" w:hAnsi="黑体" w:eastAsia="黑体" w:cs="黑体"/>
          <w:sz w:val="28"/>
          <w:szCs w:val="28"/>
        </w:rPr>
      </w:pPr>
    </w:p>
    <w:p w14:paraId="41B1DED8">
      <w:pPr>
        <w:spacing w:line="54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五、质量要求</w:t>
      </w:r>
    </w:p>
    <w:p w14:paraId="35BEADFF">
      <w:pPr>
        <w:pStyle w:val="5"/>
        <w:ind w:left="0" w:leftChars="0"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1、所投标产品应按国标、部标或行业标准要求制造，达到合格标准。</w:t>
      </w:r>
    </w:p>
    <w:p w14:paraId="334BA6FB">
      <w:pPr>
        <w:pStyle w:val="5"/>
        <w:ind w:left="0" w:leftChars="0"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2、售后服务不少于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年，各投标单位自报。</w:t>
      </w:r>
    </w:p>
    <w:p w14:paraId="7DCCE60B">
      <w:pPr>
        <w:pStyle w:val="5"/>
        <w:ind w:left="0" w:leftChars="0"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六、交货要求</w:t>
      </w:r>
    </w:p>
    <w:p w14:paraId="6CADEEB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合同服务期内，乙方需在校方提出送货要求后的约定时间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日送货，内送货至上海市浦东新区南汇新城镇海港大道1550号上海海事大学室内网球场</w:t>
      </w:r>
    </w:p>
    <w:p w14:paraId="3A6C49DF">
      <w:pPr>
        <w:ind w:firstLine="56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七、付款方式</w:t>
      </w:r>
    </w:p>
    <w:p w14:paraId="051678FA"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OLE_LINK1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经合同签订后5个工作日预付定金30%,安装完成后由甲方验收合格后支付至合同价的100%。</w:t>
      </w:r>
    </w:p>
    <w:bookmarkEnd w:id="3"/>
    <w:p w14:paraId="494C53DE">
      <w:pPr>
        <w:rPr>
          <w:rFonts w:ascii="黑体" w:hAnsi="黑体" w:eastAsia="黑体" w:cs="黑体"/>
          <w:sz w:val="28"/>
          <w:szCs w:val="28"/>
        </w:rPr>
      </w:pPr>
    </w:p>
    <w:p w14:paraId="76CB54C2">
      <w:pPr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八、评分标准</w:t>
      </w:r>
    </w:p>
    <w:tbl>
      <w:tblPr>
        <w:tblStyle w:val="10"/>
        <w:tblW w:w="13819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087"/>
        <w:gridCol w:w="1426"/>
        <w:gridCol w:w="10529"/>
      </w:tblGrid>
      <w:tr w14:paraId="582B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77" w:type="dxa"/>
            <w:shd w:val="clear" w:color="auto" w:fill="auto"/>
            <w:vAlign w:val="center"/>
          </w:tcPr>
          <w:p w14:paraId="0B1F3DDD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A6AD54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87E01B7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评分因素</w:t>
            </w:r>
          </w:p>
        </w:tc>
        <w:tc>
          <w:tcPr>
            <w:tcW w:w="10529" w:type="dxa"/>
            <w:shd w:val="clear" w:color="auto" w:fill="auto"/>
            <w:vAlign w:val="center"/>
          </w:tcPr>
          <w:p w14:paraId="5EC825FA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评分标准</w:t>
            </w:r>
          </w:p>
        </w:tc>
      </w:tr>
      <w:tr w14:paraId="42EA6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77" w:type="dxa"/>
            <w:shd w:val="clear" w:color="auto" w:fill="auto"/>
            <w:vAlign w:val="center"/>
          </w:tcPr>
          <w:p w14:paraId="25758673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D92D8A2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DF8D4FD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投标报价</w:t>
            </w:r>
          </w:p>
        </w:tc>
        <w:tc>
          <w:tcPr>
            <w:tcW w:w="10529" w:type="dxa"/>
            <w:shd w:val="clear" w:color="auto" w:fill="auto"/>
            <w:vAlign w:val="center"/>
          </w:tcPr>
          <w:p w14:paraId="7AFD159A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价格分采用均价优先法计算，即满足采购要求的投标报价价格的平均价为基准价，低于等于其价格分为满分。其他投标人的价格分统一按照下列公式计算：投标报价得分=（基准价／投标报价）×报价权重（30%）×100。</w:t>
            </w:r>
          </w:p>
        </w:tc>
      </w:tr>
      <w:tr w14:paraId="68CA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77" w:type="dxa"/>
            <w:shd w:val="clear" w:color="auto" w:fill="auto"/>
            <w:vAlign w:val="center"/>
          </w:tcPr>
          <w:p w14:paraId="3E832EE9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54AFD7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9FE4CB9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设备技术参数响应</w:t>
            </w:r>
          </w:p>
        </w:tc>
        <w:tc>
          <w:tcPr>
            <w:tcW w:w="10529" w:type="dxa"/>
            <w:shd w:val="clear" w:color="auto" w:fill="auto"/>
            <w:vAlign w:val="center"/>
          </w:tcPr>
          <w:p w14:paraId="4226CEAB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根据招标文件采购需求中设备清单及技术参数，“★”号条款参数不满足或存在负偏离的；扣2分，其他条款参数每有一条不满足或存在负偏离的，扣1分，扣完为止。</w:t>
            </w:r>
          </w:p>
        </w:tc>
      </w:tr>
      <w:tr w14:paraId="4E10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77" w:type="dxa"/>
            <w:shd w:val="clear" w:color="auto" w:fill="auto"/>
            <w:vAlign w:val="center"/>
          </w:tcPr>
          <w:p w14:paraId="78128FDC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3C4259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44AB6E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企业资信</w:t>
            </w:r>
          </w:p>
        </w:tc>
        <w:tc>
          <w:tcPr>
            <w:tcW w:w="10529" w:type="dxa"/>
            <w:shd w:val="clear" w:color="auto" w:fill="auto"/>
            <w:vAlign w:val="center"/>
          </w:tcPr>
          <w:p w14:paraId="4F830728">
            <w:pPr>
              <w:spacing w:line="229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供应商所选灯具具有ISO9001质量管理体系认证、ISO14001环境管理体系认证、ISO45001职业健康管理体系认证、AAA级资信等级证书、五星售后服务管理体系认证、产品节能认证、灯具厂家授权的，每提供1个得2分，最多14分。</w:t>
            </w:r>
          </w:p>
        </w:tc>
      </w:tr>
      <w:tr w14:paraId="7B99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77" w:type="dxa"/>
            <w:shd w:val="clear" w:color="auto" w:fill="auto"/>
            <w:vAlign w:val="center"/>
          </w:tcPr>
          <w:p w14:paraId="2B0C3495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852FD1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A77BC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售后服务方案</w:t>
            </w:r>
          </w:p>
        </w:tc>
        <w:tc>
          <w:tcPr>
            <w:tcW w:w="10529" w:type="dxa"/>
            <w:shd w:val="clear" w:color="auto" w:fill="auto"/>
            <w:vAlign w:val="center"/>
          </w:tcPr>
          <w:p w14:paraId="3B1EDCBA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保修承诺的具体内容和实施措施（根据投标人提供的售后服务方案的合理性和可行性进行综合评审，包括服务体系、服务内容、故障解决方案、响应时间、专业技术人员保障， 团队等以及质保期后的服务方案，相对较优者得 7-10分，基本可行者得4-6分，相对较差着得 0-3分</w:t>
            </w:r>
          </w:p>
        </w:tc>
      </w:tr>
      <w:tr w14:paraId="4C63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77" w:type="dxa"/>
            <w:shd w:val="clear" w:color="auto" w:fill="auto"/>
            <w:vAlign w:val="center"/>
          </w:tcPr>
          <w:p w14:paraId="5F7A3F48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C6E03F0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5AF9F72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业绩案例</w:t>
            </w:r>
          </w:p>
        </w:tc>
        <w:tc>
          <w:tcPr>
            <w:tcW w:w="10529" w:type="dxa"/>
            <w:shd w:val="clear" w:color="auto" w:fill="auto"/>
            <w:vAlign w:val="center"/>
          </w:tcPr>
          <w:p w14:paraId="53BEB274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提供投标人或所选灯具设备厂家近三年以来近似的业绩案例，每提供一项业绩得</w:t>
            </w:r>
            <w:r>
              <w:rPr>
                <w:rFonts w:ascii="仿宋" w:hAnsi="仿宋" w:eastAsia="仿宋" w:cs="仿宋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分，最高得1</w:t>
            </w:r>
            <w:r>
              <w:rPr>
                <w:rFonts w:ascii="仿宋" w:hAnsi="仿宋" w:eastAsia="仿宋" w:cs="仿宋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分。注：需提供合同复印件或中标通知书，加盖公司公章，复印件在投标文件中，否则该业绩不予认可。</w:t>
            </w:r>
          </w:p>
        </w:tc>
      </w:tr>
      <w:tr w14:paraId="292D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77" w:type="dxa"/>
            <w:shd w:val="clear" w:color="auto" w:fill="auto"/>
            <w:vAlign w:val="center"/>
          </w:tcPr>
          <w:p w14:paraId="73FEDEF1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78D360"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F6F0474"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照明方案</w:t>
            </w:r>
          </w:p>
        </w:tc>
        <w:tc>
          <w:tcPr>
            <w:tcW w:w="10529" w:type="dxa"/>
            <w:shd w:val="clear" w:color="auto" w:fill="auto"/>
            <w:vAlign w:val="center"/>
          </w:tcPr>
          <w:p w14:paraId="348A23C4"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采用专业的照明设计软件对本项目的体育场地照明方案进行设计，根据所选灯具设计出能清楚反映出照度、均匀度、眩光等相关参数的具体数据，其中照明设计方案，要求Ⅲ级，专业比赛，水平照度 Eh≥1000/750lux ，PA：U1≥0.7，U2≥0.8，显指Ra＞80，色温5700k，根据参数符合情况进行评分。相对较优者得 9-12分，基本可行者得5-8分，相对较差着得 0-4分。</w:t>
            </w:r>
          </w:p>
        </w:tc>
      </w:tr>
    </w:tbl>
    <w:p w14:paraId="68B145E1">
      <w:pPr>
        <w:pStyle w:val="5"/>
      </w:pPr>
    </w:p>
    <w:sectPr>
      <w:footerReference r:id="rId3" w:type="default"/>
      <w:pgSz w:w="16838" w:h="11906" w:orient="landscape"/>
      <w:pgMar w:top="1080" w:right="1440" w:bottom="108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D3FBD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764B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764B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YWYyZDdjZGNkM2E1YzcxOGRiYWQwMjEwY2Q3NWQifQ=="/>
  </w:docVars>
  <w:rsids>
    <w:rsidRoot w:val="000B1B22"/>
    <w:rsid w:val="0000014F"/>
    <w:rsid w:val="000112B2"/>
    <w:rsid w:val="00034B16"/>
    <w:rsid w:val="00041366"/>
    <w:rsid w:val="00047BDF"/>
    <w:rsid w:val="000712B2"/>
    <w:rsid w:val="000752BE"/>
    <w:rsid w:val="000A035E"/>
    <w:rsid w:val="000B1B22"/>
    <w:rsid w:val="000B3FD3"/>
    <w:rsid w:val="000D6B7C"/>
    <w:rsid w:val="000E04AA"/>
    <w:rsid w:val="00103DA6"/>
    <w:rsid w:val="00105277"/>
    <w:rsid w:val="00121423"/>
    <w:rsid w:val="001C4C26"/>
    <w:rsid w:val="001E3610"/>
    <w:rsid w:val="00214801"/>
    <w:rsid w:val="002410F1"/>
    <w:rsid w:val="0025081B"/>
    <w:rsid w:val="00262A2B"/>
    <w:rsid w:val="002772EF"/>
    <w:rsid w:val="00282D6C"/>
    <w:rsid w:val="0029140B"/>
    <w:rsid w:val="002B53E0"/>
    <w:rsid w:val="002D593B"/>
    <w:rsid w:val="00304462"/>
    <w:rsid w:val="00304DE8"/>
    <w:rsid w:val="003231E8"/>
    <w:rsid w:val="00371B60"/>
    <w:rsid w:val="00380773"/>
    <w:rsid w:val="003B2791"/>
    <w:rsid w:val="003B5C2F"/>
    <w:rsid w:val="003D4BB1"/>
    <w:rsid w:val="003E22D1"/>
    <w:rsid w:val="00431C1A"/>
    <w:rsid w:val="00433C19"/>
    <w:rsid w:val="00450064"/>
    <w:rsid w:val="00472B66"/>
    <w:rsid w:val="0049457D"/>
    <w:rsid w:val="004B6BD4"/>
    <w:rsid w:val="004D7F75"/>
    <w:rsid w:val="0051174D"/>
    <w:rsid w:val="0052086D"/>
    <w:rsid w:val="0052185B"/>
    <w:rsid w:val="00525735"/>
    <w:rsid w:val="00547FD7"/>
    <w:rsid w:val="005824C6"/>
    <w:rsid w:val="005A2C74"/>
    <w:rsid w:val="005C3DAF"/>
    <w:rsid w:val="005C5993"/>
    <w:rsid w:val="005E6631"/>
    <w:rsid w:val="005F53A6"/>
    <w:rsid w:val="006207A5"/>
    <w:rsid w:val="00694A91"/>
    <w:rsid w:val="006D52AC"/>
    <w:rsid w:val="006E1B0B"/>
    <w:rsid w:val="006F1672"/>
    <w:rsid w:val="007148EA"/>
    <w:rsid w:val="007350C3"/>
    <w:rsid w:val="00735F0E"/>
    <w:rsid w:val="00752FCD"/>
    <w:rsid w:val="00772087"/>
    <w:rsid w:val="00776A57"/>
    <w:rsid w:val="007A6EC9"/>
    <w:rsid w:val="007D377C"/>
    <w:rsid w:val="00815D54"/>
    <w:rsid w:val="008264CA"/>
    <w:rsid w:val="00845F30"/>
    <w:rsid w:val="008B2A32"/>
    <w:rsid w:val="008B6D6D"/>
    <w:rsid w:val="008C1FBC"/>
    <w:rsid w:val="008D51C3"/>
    <w:rsid w:val="00902DA6"/>
    <w:rsid w:val="00973373"/>
    <w:rsid w:val="009E0775"/>
    <w:rsid w:val="009F30C5"/>
    <w:rsid w:val="009F69C8"/>
    <w:rsid w:val="00A05DF8"/>
    <w:rsid w:val="00A22553"/>
    <w:rsid w:val="00A41C07"/>
    <w:rsid w:val="00A42BCD"/>
    <w:rsid w:val="00AA5B88"/>
    <w:rsid w:val="00AE399E"/>
    <w:rsid w:val="00AE4DFB"/>
    <w:rsid w:val="00B11855"/>
    <w:rsid w:val="00B52682"/>
    <w:rsid w:val="00B561DF"/>
    <w:rsid w:val="00B75C95"/>
    <w:rsid w:val="00B83E58"/>
    <w:rsid w:val="00BE494E"/>
    <w:rsid w:val="00BE4C4D"/>
    <w:rsid w:val="00BF1CA5"/>
    <w:rsid w:val="00C06379"/>
    <w:rsid w:val="00C32AEA"/>
    <w:rsid w:val="00C52D59"/>
    <w:rsid w:val="00C65289"/>
    <w:rsid w:val="00C77551"/>
    <w:rsid w:val="00CA2312"/>
    <w:rsid w:val="00CC755C"/>
    <w:rsid w:val="00CE2175"/>
    <w:rsid w:val="00D457C0"/>
    <w:rsid w:val="00D616FF"/>
    <w:rsid w:val="00DA7E51"/>
    <w:rsid w:val="00DE5900"/>
    <w:rsid w:val="00DE5EEF"/>
    <w:rsid w:val="00E02BC5"/>
    <w:rsid w:val="00E35C2E"/>
    <w:rsid w:val="00E87FBC"/>
    <w:rsid w:val="00EA75D0"/>
    <w:rsid w:val="00EB3756"/>
    <w:rsid w:val="00EF6524"/>
    <w:rsid w:val="00EF6FC8"/>
    <w:rsid w:val="00F01EDD"/>
    <w:rsid w:val="00F10CB6"/>
    <w:rsid w:val="00F13258"/>
    <w:rsid w:val="00F20FF3"/>
    <w:rsid w:val="00F42FCA"/>
    <w:rsid w:val="00F44C1B"/>
    <w:rsid w:val="00F539EC"/>
    <w:rsid w:val="00F77705"/>
    <w:rsid w:val="00FB5F3F"/>
    <w:rsid w:val="00FC3201"/>
    <w:rsid w:val="00FD5DCF"/>
    <w:rsid w:val="03BB0549"/>
    <w:rsid w:val="045003F3"/>
    <w:rsid w:val="049D36E6"/>
    <w:rsid w:val="0644429B"/>
    <w:rsid w:val="07865329"/>
    <w:rsid w:val="07EF0236"/>
    <w:rsid w:val="082F4327"/>
    <w:rsid w:val="0A365481"/>
    <w:rsid w:val="0B193AC9"/>
    <w:rsid w:val="0C3E353A"/>
    <w:rsid w:val="0C890E5E"/>
    <w:rsid w:val="0CCC608B"/>
    <w:rsid w:val="0CEE71B9"/>
    <w:rsid w:val="10AE582D"/>
    <w:rsid w:val="11174EEC"/>
    <w:rsid w:val="11457F2D"/>
    <w:rsid w:val="114864D0"/>
    <w:rsid w:val="120C7C36"/>
    <w:rsid w:val="120F1FC0"/>
    <w:rsid w:val="12E7492B"/>
    <w:rsid w:val="135A192C"/>
    <w:rsid w:val="16694259"/>
    <w:rsid w:val="18A961DF"/>
    <w:rsid w:val="19110278"/>
    <w:rsid w:val="195C3451"/>
    <w:rsid w:val="19706CFD"/>
    <w:rsid w:val="1B370E18"/>
    <w:rsid w:val="1BAC0120"/>
    <w:rsid w:val="1CA84549"/>
    <w:rsid w:val="1F63531C"/>
    <w:rsid w:val="1F78690B"/>
    <w:rsid w:val="1FA960E2"/>
    <w:rsid w:val="1FF705AF"/>
    <w:rsid w:val="21DE514B"/>
    <w:rsid w:val="239301B8"/>
    <w:rsid w:val="23DC1B5F"/>
    <w:rsid w:val="24C75794"/>
    <w:rsid w:val="25B81744"/>
    <w:rsid w:val="25BD776E"/>
    <w:rsid w:val="26E33A06"/>
    <w:rsid w:val="280073F9"/>
    <w:rsid w:val="29C90EB0"/>
    <w:rsid w:val="2A9E191C"/>
    <w:rsid w:val="2B892294"/>
    <w:rsid w:val="2C0B258D"/>
    <w:rsid w:val="2C7A0167"/>
    <w:rsid w:val="2F9A6DA3"/>
    <w:rsid w:val="30BA1DAB"/>
    <w:rsid w:val="322B5A66"/>
    <w:rsid w:val="32B33B1F"/>
    <w:rsid w:val="337F440B"/>
    <w:rsid w:val="33EA4DAB"/>
    <w:rsid w:val="34656C04"/>
    <w:rsid w:val="36A24542"/>
    <w:rsid w:val="39810DD3"/>
    <w:rsid w:val="3B056B27"/>
    <w:rsid w:val="3B847CF2"/>
    <w:rsid w:val="3CB834AB"/>
    <w:rsid w:val="3D3D6D72"/>
    <w:rsid w:val="3FEF4EA9"/>
    <w:rsid w:val="402244C5"/>
    <w:rsid w:val="40A460A3"/>
    <w:rsid w:val="40E052AB"/>
    <w:rsid w:val="41AC44C7"/>
    <w:rsid w:val="42350960"/>
    <w:rsid w:val="423C4A11"/>
    <w:rsid w:val="434F017C"/>
    <w:rsid w:val="449658FD"/>
    <w:rsid w:val="44C56B58"/>
    <w:rsid w:val="460C464B"/>
    <w:rsid w:val="467B090B"/>
    <w:rsid w:val="47EC7D13"/>
    <w:rsid w:val="486D0F95"/>
    <w:rsid w:val="48CB1FA6"/>
    <w:rsid w:val="498505E2"/>
    <w:rsid w:val="49B83E98"/>
    <w:rsid w:val="4ACF4DCB"/>
    <w:rsid w:val="4AE71C5F"/>
    <w:rsid w:val="4C043151"/>
    <w:rsid w:val="4F2060C9"/>
    <w:rsid w:val="51D63240"/>
    <w:rsid w:val="527810BE"/>
    <w:rsid w:val="527C5AA9"/>
    <w:rsid w:val="53542C10"/>
    <w:rsid w:val="5699330D"/>
    <w:rsid w:val="56A50A2E"/>
    <w:rsid w:val="57103CA0"/>
    <w:rsid w:val="580110D4"/>
    <w:rsid w:val="5875165E"/>
    <w:rsid w:val="58E2051D"/>
    <w:rsid w:val="5C8005D2"/>
    <w:rsid w:val="5D14497D"/>
    <w:rsid w:val="5FF84813"/>
    <w:rsid w:val="60474E32"/>
    <w:rsid w:val="60DE27BC"/>
    <w:rsid w:val="62842E61"/>
    <w:rsid w:val="64D04428"/>
    <w:rsid w:val="659550EE"/>
    <w:rsid w:val="659F5F6D"/>
    <w:rsid w:val="66A07BE5"/>
    <w:rsid w:val="6A8120E5"/>
    <w:rsid w:val="6B27620E"/>
    <w:rsid w:val="6BED3748"/>
    <w:rsid w:val="6C3F2D24"/>
    <w:rsid w:val="6C474399"/>
    <w:rsid w:val="6CFF75DF"/>
    <w:rsid w:val="6E07348B"/>
    <w:rsid w:val="70255908"/>
    <w:rsid w:val="712B442D"/>
    <w:rsid w:val="7260129D"/>
    <w:rsid w:val="72F06686"/>
    <w:rsid w:val="72F75A8F"/>
    <w:rsid w:val="732F0FFB"/>
    <w:rsid w:val="76803F50"/>
    <w:rsid w:val="780378B3"/>
    <w:rsid w:val="797D7D5C"/>
    <w:rsid w:val="7BDE6BB9"/>
    <w:rsid w:val="7E5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120"/>
      <w:ind w:firstLine="420" w:firstLineChars="100"/>
      <w:jc w:val="left"/>
    </w:pPr>
    <w:rPr>
      <w:rFonts w:ascii="Times New Roman"/>
    </w:rPr>
  </w:style>
  <w:style w:type="paragraph" w:styleId="3">
    <w:name w:val="Body Text"/>
    <w:basedOn w:val="1"/>
    <w:qFormat/>
    <w:uiPriority w:val="0"/>
  </w:style>
  <w:style w:type="paragraph" w:styleId="5">
    <w:name w:val="Body Text Indent"/>
    <w:basedOn w:val="1"/>
    <w:qFormat/>
    <w:uiPriority w:val="0"/>
    <w:pPr>
      <w:ind w:left="420" w:leftChars="2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11"/>
    <w:pPr>
      <w:spacing w:after="60"/>
      <w:jc w:val="center"/>
      <w:outlineLvl w:val="1"/>
    </w:pPr>
    <w:rPr>
      <w:rFonts w:ascii="Cambria" w:hAnsi="Cambria"/>
    </w:rPr>
  </w:style>
  <w:style w:type="table" w:styleId="11">
    <w:name w:val="Table Grid"/>
    <w:basedOn w:val="10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qFormat/>
    <w:uiPriority w:val="99"/>
    <w:rPr>
      <w:color w:val="0000FF"/>
      <w:u w:val="single"/>
    </w:rPr>
  </w:style>
  <w:style w:type="character" w:customStyle="1" w:styleId="14">
    <w:name w:val="页眉 字符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link w:val="6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18">
    <w:name w:val="font71"/>
    <w:basedOn w:val="12"/>
    <w:qFormat/>
    <w:uiPriority w:val="0"/>
    <w:rPr>
      <w:rFonts w:ascii="Symbol" w:hAnsi="Symbol" w:cs="Symbol"/>
      <w:color w:val="99CCFF"/>
      <w:sz w:val="24"/>
      <w:szCs w:val="24"/>
      <w:u w:val="single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8DB4E2"/>
      <w:sz w:val="24"/>
      <w:szCs w:val="24"/>
      <w:u w:val="single"/>
    </w:rPr>
  </w:style>
  <w:style w:type="character" w:customStyle="1" w:styleId="20">
    <w:name w:val="font1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61"/>
    <w:basedOn w:val="12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5</Pages>
  <Words>1750</Words>
  <Characters>1954</Characters>
  <Lines>19</Lines>
  <Paragraphs>5</Paragraphs>
  <TotalTime>19</TotalTime>
  <ScaleCrop>false</ScaleCrop>
  <LinksUpToDate>false</LinksUpToDate>
  <CharactersWithSpaces>1961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2025-03-20T07:53:00Z</dcterms:created>
  <dc:creator>wdyang</dc:creator>
  <cp:lastModifiedBy>仲杰</cp:lastModifiedBy>
  <cp:lastPrinted>2023-07-07T07:34:00Z</cp:lastPrinted>
  <dcterms:modified xsi:type="dcterms:W3CDTF">2025-03-31T01:50:11Z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E6C1E7B32AE147C6A6FDBEBBD397AD8B_13</vt:lpwstr>
  </property>
  <property fmtid="{D5CDD505-2E9C-101B-9397-08002B2CF9AE}" pid="4" name="KSOTemplateDocerSaveRecord">
    <vt:lpwstr>eyJoZGlkIjoiZDlmOGQwYjhiNmI4NDMzYTcyZjE3NmU1NDRkMTcyMTMiLCJ1c2VySWQiOiIyOTgyOTgyOTEifQ==</vt:lpwstr>
  </property>
</Properties>
</file>