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1350"/>
        </w:tabs>
        <w:snapToGrid w:val="0"/>
        <w:spacing w:before="120" w:after="120" w:line="360" w:lineRule="auto"/>
        <w:ind w:left="0" w:firstLine="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消防检测服务需求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_Toc16971"/>
      <w:bookmarkStart w:id="1" w:name="_Toc20410"/>
      <w:bookmarkStart w:id="2" w:name="_Toc30140"/>
      <w:bookmarkStart w:id="3" w:name="_Toc7968"/>
      <w:bookmarkStart w:id="4" w:name="_Toc23211"/>
      <w:bookmarkStart w:id="5" w:name="_Toc29476"/>
      <w:bookmarkStart w:id="6" w:name="_Toc23965"/>
      <w:r>
        <w:rPr>
          <w:rFonts w:hint="eastAsia" w:ascii="宋体" w:hAnsi="宋体"/>
          <w:b/>
          <w:sz w:val="24"/>
          <w:szCs w:val="24"/>
        </w:rPr>
        <w:t>一、项目</w:t>
      </w:r>
      <w:bookmarkEnd w:id="0"/>
      <w:bookmarkEnd w:id="1"/>
      <w:bookmarkEnd w:id="2"/>
      <w:bookmarkEnd w:id="3"/>
      <w:bookmarkEnd w:id="4"/>
      <w:r>
        <w:rPr>
          <w:rFonts w:hint="eastAsia" w:ascii="宋体" w:hAnsi="宋体"/>
          <w:b/>
          <w:sz w:val="24"/>
          <w:szCs w:val="24"/>
        </w:rPr>
        <w:t>概况</w:t>
      </w:r>
      <w:bookmarkEnd w:id="5"/>
      <w:bookmarkEnd w:id="6"/>
    </w:p>
    <w:p>
      <w:pPr>
        <w:spacing w:line="360" w:lineRule="auto"/>
        <w:ind w:firstLine="200"/>
        <w:rPr>
          <w:rFonts w:ascii="宋体" w:hAnsi="宋体"/>
        </w:rPr>
      </w:pPr>
      <w:bookmarkStart w:id="7" w:name="_Toc11224"/>
      <w:bookmarkStart w:id="8" w:name="_Toc15556"/>
      <w:bookmarkStart w:id="9" w:name="_Toc25790"/>
      <w:bookmarkStart w:id="10" w:name="_Toc13343"/>
      <w:bookmarkStart w:id="11" w:name="_Toc12347"/>
      <w:r>
        <w:rPr>
          <w:rFonts w:hint="eastAsia" w:ascii="宋体" w:hAnsi="宋体"/>
        </w:rPr>
        <w:t>根据《中华人民共和国消防法》第十六条之规定，我校现通过公开询价形式，对全校所有建筑进行一次消防检测，以确保我校建筑消防设施全面符合法律要求。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二、检测依据：</w:t>
      </w:r>
    </w:p>
    <w:p>
      <w:pPr>
        <w:spacing w:line="360" w:lineRule="auto"/>
        <w:ind w:firstLine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>
      <w:pPr>
        <w:spacing w:line="360" w:lineRule="auto"/>
        <w:ind w:firstLine="200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主要包括火灾自动报警系统、消火栓系统、自动喷水灭火系统、气体灭火系统、防排烟及通风空调系统、防火卷帘、防火门等七个系统。</w:t>
      </w:r>
    </w:p>
    <w:bookmarkEnd w:id="7"/>
    <w:bookmarkEnd w:id="8"/>
    <w:bookmarkEnd w:id="9"/>
    <w:bookmarkEnd w:id="10"/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三、检测范围</w:t>
      </w:r>
    </w:p>
    <w:tbl>
      <w:tblPr>
        <w:tblStyle w:val="7"/>
        <w:tblW w:w="72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56"/>
        <w:gridCol w:w="1283"/>
        <w:gridCol w:w="1850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建筑物名称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层数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建筑面积（㎡）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高度（m）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科研楼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12742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行政楼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10018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图文信息中心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45407.5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大礼堂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5298.1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学生活动中心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6266.1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水上训练中心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5877.5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商船学院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44527.8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物流工程学院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21945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6960.6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4617.4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经济管理学院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10236.6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交通运输学院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8901.9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9836.3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信息工程学院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13271.1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体育中心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1、2、3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26501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实训中心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2、3、4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16808.5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校医院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1、2、4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4877.2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食堂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24769.4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文理公共教学楼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2、3、4、5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58965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南区学生公寓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31608.3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21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北区学生公寓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38648.1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22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三期学生公寓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99824.89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五期学生公寓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70323.9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24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教职工集体宿舍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1、5、11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10215.6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32.75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25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13958.5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26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海云楼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3727.7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</w:t>
            </w:r>
          </w:p>
        </w:tc>
        <w:tc>
          <w:tcPr>
            <w:tcW w:w="2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研究生公寓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23590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288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总计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629723.99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3"/>
        <w:numPr>
          <w:ilvl w:val="0"/>
          <w:numId w:val="1"/>
        </w:numPr>
        <w:spacing w:before="120" w:after="0" w:line="360" w:lineRule="auto"/>
        <w:rPr>
          <w:rFonts w:ascii="宋体" w:hAnsi="宋体" w:eastAsia="宋体"/>
          <w:sz w:val="24"/>
          <w:szCs w:val="24"/>
        </w:rPr>
      </w:pPr>
      <w:bookmarkStart w:id="12" w:name="_Toc25543"/>
      <w:bookmarkStart w:id="13" w:name="_Toc19131"/>
      <w:bookmarkStart w:id="14" w:name="_Toc29113"/>
      <w:bookmarkStart w:id="15" w:name="_Toc29796"/>
      <w:r>
        <w:rPr>
          <w:rFonts w:hint="eastAsia" w:ascii="宋体" w:hAnsi="宋体" w:eastAsia="宋体"/>
          <w:sz w:val="24"/>
          <w:szCs w:val="24"/>
        </w:rPr>
        <w:t>具体检测内容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火灾自动报警系统：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100%检测）；检测消防设备控制柜的安装质量、柜内配线、手、自动控制及屏面接受消防设备的信号反馈功能（100%检测）；检测消防控制室、各消防设备间及消火栓按钮处的消防通讯功能；检测消防控制室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100%检测），切断非消防电源功能和着火层的灯光显示功能；检测火灾应急照明和疏散指示标志的设置、照度、转换时间和图形符号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相关技术要求：火灾自动报警系统（应急广播、消防电梯、事故照明及疏散指示灯）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系统组成：电源、火灾报警控制器、火灾报警触发装置、消防联动控制设备、消防通讯设备、火灾应急广播、消防电梯、火灾应急照明及疏散指示装置等。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电源：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1.3.1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10≤报警点≤32）处于正常报警状态条件下，连续正常工作4小时，还有电压稳定度、负载稳定度不大于5%等要求。主电源不应采用漏电保护开关保护；不能采用插头连接。除主电源供电外，还要有直流备用电源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消防控制室及火灾报警控制器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1.4.1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控制室：规范要求消防控制室的标志应齐全。消防控制室入口处应有明显标志（塑料、金属）；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2根。火灾自动报警系统应设专用接地干线，应采用铜芯绝缘导线，其芯线截面积不小于25mm2,消防控制室接地板的接地线也应选用铜芯绝缘导线，其芯线截面积不小于4mm2。控制器主要功能：消音功能，复位功能，故障报警功能，火灾报警功能，二次火警功能，火灾优先功能，自检功能，显示记忆功能，屏蔽功能等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消防联动控制设备，消防联动控制设备电源容量试验和控制器试验类似。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火灾探测器和手动报警按钮（火灾触发装置）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消防通讯、应急广播、消防电梯、火灾应急照明及疏散指示装置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消防通讯：消防控制室应设置消防专用电话总机。设备间（泵房、风机房、空调机房、配电室、分控室等）应设专用电话分机，手动报警按钮、消火栓按钮等处宜插孔电话。要求语言清晰，通话可靠。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应急广播：控制中心报警系统应设置火灾应急广播，集中报警系统宜设置火灾应急广播，未设置火灾应急广播的火灾自动报警系统应设置火灾警报装置。扬声器功率不小于3瓦，任何部位距离不大于25米，声压级高于背景15分贝。也可与日常公共广播系统合用，平时用于广播、背景音乐等，火警时消防消防控制室应能强制转入应急广播状态，即相应楼层或防火分区的扬声器和公共广播扩音机（功放机）强制转入应急广播状态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1.5.5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电梯：普通电梯要求在火警时能强制降于首层，打开轿厢门，不作为疏散用。而消防电梯除要求在控制室和首层都能强制降于首层外，还要求有消防操作功能，即不能外呼，轿厢内可操作，设专用电话，有排水设施等。消防控制室应能控制电梯全部停于首层并接收其反馈信号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1.5.6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应急照明及疏散指示：规范要求，应急照明和疏散指示连续供电工作时间不少于20分钟。应急照明度不低于0.5LX，地下室不低于5LX，疏散指示照度不小于0.5LX。消防控制室应能切断有关部位的非消防电源，并接通火灾应急照明及疏散指示装置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消防供水及消火栓系统：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检查消防水源的性质、进水管的条数和直径及消防水池的设置状况（100%检测）；检查消防水池的容积、水位指示器和补水设施、保证消防用水和防冻措施等（100%检测）；检查消防水箱的设置、容积、防冻措施、补水及单向阀的状况等（100%检测）；检测各种消防供水泵的性能、管道、手自动控制、启动时间，主备泵和主备电源转换功能等（100%检测）；检测水泵接合器的设置、标志及输送消防水的功能等（100%检测）。检查室内消火栓的安装、组件、规格及其间距等；检测屋顶消火栓的设置、陈冻措施及其充实水柱长度等（100%检测）；检查室内消火栓管网的设置、管径、颜色、保证消防用水及其连接形状；检测室内消火栓的首层和最不利点的静压、动压及其充实水柱长度（按每个供水分区最不利点及首层均进行出水测试）；检查手动启泵按钮的设置及其功能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泵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2.2.1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组成：市政供水系统由消火栓箱、管网、水源构成。临时高压给水系统由消火栓箱、消火栓启泵按钮、管网、水泵、水源构成。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2.2.2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消火栓管网进水管不少于两根，应为独立的两根，当有一根需要检修时不影响系统管网的供水。管网应布置呈环状。消火栓启泵按钮要有保护措施；报警要准确，设有报警系统的要显示部位；并能联动消火栓泵，当消火栓泵启动后应有红色指示灯指示。消火栓栓口静水压力：不低于0.07MPa，不高于0.8MPa；出水压力：不大于0.50MPa，最主要是充实水柱长度不小于7m（高规10m）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自动喷水灭火系统：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检查管网的安装、连接、设置喷头数量及末端管径等；检查水流指示器和信号阀的安装及其功能；检测报警阀组的安装、阀门的状态、各组件及其功能（100%检测）；检测喷淋头安装、外观、保护间距和保护面积及与邻近障碍物的距离等；对报警阀组进行功能试验（100%检测）；对自动喷淋水（雾）系统进行功能试验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相关技术要求：组成：喷头、管网、水流指示器、末端试水装置、检修阀、报警阀组、水泵、水源。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喷头：在装设通透性吊顶的场所，喷头应布置在顶板下，距顶板的距离不小于75mm，不大于150mm。喷头距梁、通风管道距离要符合规范要求，高于底边0.14m，0.6≤水平距离≤0.9，高于底边0.35m，1.2≤水平距离≤1.5m，当通风管道宽度大于1.2m，应增设喷头。如果喷头安装位置较低时也可增加集热挡水板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排水设施：湿式报警阀处应设有排水设施。试水管管径应为25mm，最好将泄水管直接引至水池、地漏，以便随时进行放水试验。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3.5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水流指示器：水流指示器一般与检修阀相邻设置，距离不小于300mm，应设在便于维修的场所（同检修阀）。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3.6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报警阀组（湿式）：水力警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气体灭火系统：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检查气体灭火系统的贮瓶间的设备、组件、灭火剂输送管道、喷嘴及防护区的设置和安装状况（100%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防排烟系统、防火卷帘门、防火门：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检测排烟系统风机（100%检测）、风道、防火阀、送风口、主备电源设置状况及其功能；检查通风空调系统的管道和防火阀的设置状况；对各个系统进行手动、自动及联动功能试验；检查正压送风系统的风管、风机、送风口设置状况并测量其风速和正压送风值；检测防火卷帘、防火门外观、安装、传动机构、动作程序及其手动和联动功能进行检测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相关技术要求：防排烟及通风空调系统，分三部分：正压送风系统、机械排烟系统、通风空调系统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正压送风系统：正压送风系统由送风机、送风管道、送风口及相关阀体等组成。《高规》要求，楼梯间正压值：40Pa≤正压值≤50Pa，前室正压值：25Pa≤正压值≤30Pa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通风空调系统：主要是防火阀（70℃）。火灾和烟气的横向及纵向蔓延主要是通过防火墙的孔洞蔓延。当有火警时，相应的空调送风系统应联动关闭，也就是切断非消防电源功能，并有正确的反馈信号传送到控制室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防火卷帘、防火门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5.2.4.1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防火卷帘分钢质防火卷帘、双层无机布（基）防火卷帘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5.2.4.2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联动控制功能：分为两种：作为防火分隔的卷帘，可直接降至底位（有的设延时），作为疏散通道上的防火卷帘可分两步降底：感烟探测器动作后，卷帘下降至距地面1.8m，感温探测器动作后卷帘下降到底，卷帘关闭信号应传送至消防控制室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5.2.4.3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防火门：电动防火门、普通防火门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5.2.4.4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建筑的通道、走廊等处设常开防火门，门任一侧探测器报警后，防火门机构释放，防火门自动关闭，其反馈信号应传送到消防控制室。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6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包括检测方案编制、方案送审（有关行政管理部门）、消防设施检测、编制并提交检测成果报告，协调解决消防验收等工作。所有工作应符合国家、省、市有关规范规程和规定的要求及设计要求。</w:t>
      </w:r>
    </w:p>
    <w:p>
      <w:pPr>
        <w:spacing w:line="360" w:lineRule="auto"/>
        <w:rPr>
          <w:rFonts w:ascii="宋体" w:hAnsi="宋体"/>
        </w:rPr>
      </w:pPr>
    </w:p>
    <w:p>
      <w:pPr>
        <w:pStyle w:val="3"/>
        <w:spacing w:before="120"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五、服务要求</w:t>
      </w:r>
      <w:bookmarkEnd w:id="11"/>
      <w:bookmarkEnd w:id="12"/>
      <w:bookmarkEnd w:id="13"/>
      <w:bookmarkEnd w:id="14"/>
      <w:bookmarkEnd w:id="15"/>
      <w:bookmarkStart w:id="16" w:name="_Toc2190"/>
      <w:bookmarkStart w:id="17" w:name="_Toc26459"/>
      <w:bookmarkStart w:id="18" w:name="_Toc3735"/>
    </w:p>
    <w:p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以出具以下两个文本，并达到校方认可，作为完成履约和付款条件：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《上海市建筑消防设施检测报告》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《上海海事大学消防安全诊断报告》（该报告需客观体现校方各消防系统的现状、问题及完善措施）；</w:t>
      </w:r>
    </w:p>
    <w:p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</w:rPr>
        <w:t>注：以上</w:t>
      </w:r>
      <w:r>
        <w:rPr>
          <w:rFonts w:hint="eastAsia" w:ascii="宋体" w:hAnsi="宋体"/>
          <w:b/>
        </w:rPr>
        <w:t>检测工作必须符合国家相关行业法律法规的标准和要求。</w:t>
      </w:r>
    </w:p>
    <w:p>
      <w:pPr>
        <w:pStyle w:val="3"/>
        <w:spacing w:before="120" w:after="0" w:line="360" w:lineRule="auto"/>
        <w:rPr>
          <w:rFonts w:ascii="宋体" w:hAnsi="宋体" w:eastAsia="宋体"/>
          <w:sz w:val="24"/>
          <w:szCs w:val="24"/>
        </w:rPr>
      </w:pPr>
      <w:bookmarkStart w:id="19" w:name="_Toc14845"/>
      <w:bookmarkStart w:id="20" w:name="_Toc27373"/>
      <w:r>
        <w:rPr>
          <w:rFonts w:hint="eastAsia" w:ascii="宋体" w:hAnsi="宋体" w:eastAsia="宋体"/>
          <w:sz w:val="24"/>
          <w:szCs w:val="24"/>
        </w:rPr>
        <w:t>六、其它要求</w:t>
      </w:r>
      <w:bookmarkEnd w:id="19"/>
      <w:bookmarkEnd w:id="20"/>
    </w:p>
    <w:p>
      <w:pPr>
        <w:pStyle w:val="4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1.投标单位须具有建筑消防检测资质。</w:t>
      </w:r>
    </w:p>
    <w:p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2.投标单位须具有良好的售后服务体系，在本市有固定的服务网点和专业人员，且能提供良好的技术支持和售后服务保障能力。</w:t>
      </w:r>
    </w:p>
    <w:p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3.该项目限于202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月20日前完成。</w:t>
      </w:r>
    </w:p>
    <w:p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4.投标人近3年须有本市高校检测案例。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 w:cs="宋体"/>
        </w:rPr>
        <w:t>5.本次招标限定价格为</w:t>
      </w:r>
      <w:r>
        <w:rPr>
          <w:rFonts w:hint="eastAsia" w:ascii="宋体" w:hAnsi="宋体" w:cs="宋体"/>
          <w:color w:val="auto"/>
          <w:lang w:val="en-US" w:eastAsia="zh-CN"/>
        </w:rPr>
        <w:t>19.7</w:t>
      </w:r>
      <w:r>
        <w:rPr>
          <w:rFonts w:hint="eastAsia" w:ascii="宋体" w:hAnsi="宋体" w:cs="宋体"/>
        </w:rPr>
        <w:t>万元。</w:t>
      </w:r>
      <w:bookmarkEnd w:id="16"/>
      <w:bookmarkEnd w:id="17"/>
      <w:bookmarkEnd w:id="18"/>
      <w:bookmarkStart w:id="21" w:name="_GoBack"/>
      <w:bookmarkEnd w:id="21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34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2F000001"/>
    <w:multiLevelType w:val="multilevel"/>
    <w:tmpl w:val="2F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F"/>
    <w:rsid w:val="00352BFF"/>
    <w:rsid w:val="0065521F"/>
    <w:rsid w:val="00B12550"/>
    <w:rsid w:val="00CC55C9"/>
    <w:rsid w:val="0E490FA0"/>
    <w:rsid w:val="1A3E211D"/>
    <w:rsid w:val="2B6175FC"/>
    <w:rsid w:val="4AEE5F74"/>
    <w:rsid w:val="6597609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tabs>
        <w:tab w:val="left" w:pos="1350"/>
      </w:tabs>
      <w:ind w:left="1350" w:hanging="720"/>
      <w:jc w:val="left"/>
      <w:outlineLvl w:val="0"/>
    </w:pPr>
    <w:rPr>
      <w:rFonts w:ascii="仿宋_GB2312" w:eastAsia="仿宋_GB2312"/>
      <w:sz w:val="24"/>
      <w:szCs w:val="24"/>
    </w:rPr>
  </w:style>
  <w:style w:type="paragraph" w:styleId="3">
    <w:name w:val="heading 2"/>
    <w:basedOn w:val="1"/>
    <w:next w:val="1"/>
    <w:qFormat/>
    <w:uiPriority w:val="8"/>
    <w:pPr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810</Words>
  <Characters>4617</Characters>
  <Lines>38</Lines>
  <Paragraphs>10</Paragraphs>
  <TotalTime>8</TotalTime>
  <ScaleCrop>false</ScaleCrop>
  <LinksUpToDate>false</LinksUpToDate>
  <CharactersWithSpaces>5417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2020-10-13T04:52:00Z</dcterms:created>
  <dc:creator>Administrator</dc:creator>
  <cp:lastModifiedBy>Administrator</cp:lastModifiedBy>
  <cp:lastPrinted>2021-07-22T13:11:46Z</cp:lastPrinted>
  <dcterms:modified xsi:type="dcterms:W3CDTF">2021-07-22T13:50:52Z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D9A9238585D348C98F4904C04771E379</vt:lpwstr>
  </property>
</Properties>
</file>